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采购项目编号：CT-SJ-2019054</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学生课桌椅采购项目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常州市西林实验小学（小学部）</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二〇一九年十一月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5038988"/>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302"/>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"_Toc17536924"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"_Toc17536925"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"_Toc17536926"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"_Toc17536927"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"_Toc17536928"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"_Toc17536929"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_Toc17536929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"_Toc17536930"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302"/>
            </w:tabs>
            <w:spacing w:line="720" w:lineRule="auto"/>
            <w:rPr>
              <w:rFonts w:asciiTheme="minorHAnsi" w:hAnsiTheme="minorHAnsi" w:eastAsiaTheme="minorEastAsia" w:cstheme="minorBidi"/>
              <w:szCs w:val="22"/>
            </w:rPr>
          </w:pPr>
          <w:r>
            <w:fldChar w:fldCharType="begin"/>
          </w:r>
          <w:r>
            <w:instrText xml:space="preserve"> HYPERLINK \l "_Toc17536931"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_Toc17536931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240" w:line="500" w:lineRule="exact"/>
        <w:jc w:val="center"/>
        <w:rPr>
          <w:rFonts w:ascii="宋体" w:hAnsi="宋体" w:cs="宋体"/>
          <w:b/>
          <w:sz w:val="44"/>
          <w:szCs w:val="4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pStyle w:val="2"/>
        <w:keepNext/>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bCs/>
          <w:szCs w:val="32"/>
          <w:lang w:eastAsia="zh-CN"/>
        </w:rPr>
      </w:pPr>
      <w:bookmarkStart w:id="0" w:name="_Hlk23933453"/>
      <w:bookmarkStart w:id="1" w:name="_Toc17536924"/>
      <w:r>
        <w:rPr>
          <w:rFonts w:hint="eastAsia" w:ascii="宋体" w:hAnsi="宋体"/>
          <w:bCs/>
          <w:szCs w:val="32"/>
          <w:lang w:eastAsia="zh-CN"/>
        </w:rPr>
        <w:t>常州市西林实验小学（小学部）学生课桌椅采购项目</w:t>
      </w:r>
    </w:p>
    <w:bookmarkEnd w:id="0"/>
    <w:p>
      <w:pPr>
        <w:pStyle w:val="2"/>
        <w:keepNext/>
        <w:keepLines w:val="0"/>
        <w:pageBreakBefore w:val="0"/>
        <w:widowControl/>
        <w:kinsoku/>
        <w:wordWrap/>
        <w:overflowPunct/>
        <w:topLinePunct w:val="0"/>
        <w:autoSpaceDE/>
        <w:autoSpaceDN/>
        <w:bidi w:val="0"/>
        <w:adjustRightInd w:val="0"/>
        <w:snapToGrid w:val="0"/>
        <w:spacing w:line="360" w:lineRule="auto"/>
        <w:textAlignment w:val="auto"/>
        <w:rPr>
          <w:rFonts w:cs="宋体"/>
          <w:b w:val="0"/>
          <w:bCs/>
        </w:rPr>
      </w:pPr>
      <w:r>
        <w:rPr>
          <w:rFonts w:hint="eastAsia"/>
        </w:rPr>
        <w:t>竞争性谈判公告</w:t>
      </w:r>
      <w:bookmarkEnd w:id="1"/>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color w:val="0C0C0C" w:themeColor="text1" w:themeTint="F2"/>
          <w:szCs w:val="21"/>
          <w:lang w:eastAsia="zh-CN"/>
        </w:rPr>
        <w:t>常州市西林实验小学（小学部）</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color w:val="0C0C0C" w:themeColor="text1" w:themeTint="F2"/>
          <w:szCs w:val="21"/>
          <w:lang w:eastAsia="zh-CN"/>
        </w:rPr>
        <w:t>学生课桌椅采购项目</w:t>
      </w:r>
      <w:r>
        <w:rPr>
          <w:rFonts w:hint="eastAsia" w:asciiTheme="minorEastAsia" w:hAnsiTheme="minorEastAsia" w:eastAsiaTheme="minorEastAsia"/>
          <w:color w:val="000000"/>
          <w:szCs w:val="21"/>
        </w:rPr>
        <w:t>进行</w:t>
      </w:r>
      <w:bookmarkStart w:id="2" w:name="_Hlk23933564"/>
      <w:r>
        <w:rPr>
          <w:rFonts w:hint="eastAsia" w:asciiTheme="minorEastAsia" w:hAnsiTheme="minorEastAsia" w:eastAsiaTheme="minorEastAsia"/>
          <w:color w:val="000000"/>
          <w:szCs w:val="21"/>
        </w:rPr>
        <w:t>竞争性谈判</w:t>
      </w:r>
      <w:bookmarkEnd w:id="2"/>
      <w:r>
        <w:rPr>
          <w:rFonts w:hint="eastAsia" w:asciiTheme="minorEastAsia" w:hAnsiTheme="minorEastAsia" w:eastAsiaTheme="minorEastAsia"/>
          <w:color w:val="000000"/>
          <w:szCs w:val="21"/>
        </w:rPr>
        <w:t>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val="0"/>
          <w:bCs w:val="0"/>
          <w:szCs w:val="21"/>
          <w:lang w:eastAsia="zh-CN"/>
        </w:rPr>
        <w:t>常州市西林实验小学（小学部）学生课桌椅采购项目</w:t>
      </w:r>
    </w:p>
    <w:p>
      <w:pPr>
        <w:snapToGrid w:val="0"/>
        <w:spacing w:line="360" w:lineRule="exact"/>
        <w:ind w:firstLine="422" w:firstLineChars="200"/>
        <w:rPr>
          <w:rFonts w:asciiTheme="minorEastAsia" w:hAnsiTheme="minorEastAsia" w:eastAsiaTheme="minorEastAsia"/>
          <w:b w:val="0"/>
          <w:bCs w:val="0"/>
          <w:spacing w:val="2"/>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val="0"/>
          <w:bCs w:val="0"/>
          <w:szCs w:val="21"/>
        </w:rPr>
        <w:t>CT-SJ-2019054</w:t>
      </w:r>
    </w:p>
    <w:p>
      <w:pPr>
        <w:snapToGrid w:val="0"/>
        <w:spacing w:line="360" w:lineRule="exact"/>
        <w:ind w:firstLine="430" w:firstLineChars="200"/>
        <w:rPr>
          <w:rFonts w:hint="eastAsia" w:asciiTheme="minorEastAsia" w:hAnsiTheme="minorEastAsia" w:eastAsiaTheme="minorEastAsia"/>
          <w:color w:val="FF0000"/>
          <w:spacing w:val="2"/>
          <w:szCs w:val="21"/>
          <w:lang w:eastAsia="zh-CN"/>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color w:val="0C0C0C" w:themeColor="text1" w:themeTint="F2"/>
          <w:spacing w:val="2"/>
          <w:szCs w:val="21"/>
          <w:lang w:eastAsia="zh-CN"/>
        </w:rPr>
        <w:t>人民币12万元</w:t>
      </w:r>
    </w:p>
    <w:p>
      <w:pPr>
        <w:snapToGrid w:val="0"/>
        <w:spacing w:line="360" w:lineRule="exact"/>
        <w:ind w:firstLine="430" w:firstLineChars="200"/>
        <w:rPr>
          <w:rFonts w:asciiTheme="minorEastAsia" w:hAnsiTheme="minorEastAsia" w:eastAsiaTheme="minorEastAsia"/>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Theme="minorEastAsia" w:hAnsiTheme="minorEastAsia" w:eastAsiaTheme="minorEastAsia"/>
          <w:bCs/>
          <w:szCs w:val="21"/>
        </w:rPr>
        <w:t>本项目为</w:t>
      </w:r>
      <w:r>
        <w:rPr>
          <w:rFonts w:hint="eastAsia" w:asciiTheme="minorEastAsia" w:hAnsiTheme="minorEastAsia" w:eastAsiaTheme="minorEastAsia"/>
          <w:szCs w:val="21"/>
          <w:lang w:eastAsia="zh-CN"/>
        </w:rPr>
        <w:t>常州市西林实验小学（小学部）学生课桌椅采购项目</w:t>
      </w:r>
      <w:r>
        <w:rPr>
          <w:rFonts w:hint="eastAsia" w:asciiTheme="minorEastAsia" w:hAnsiTheme="minorEastAsia" w:eastAsiaTheme="minorEastAsia"/>
          <w:bCs/>
          <w:szCs w:val="21"/>
        </w:rPr>
        <w:t>，</w:t>
      </w:r>
      <w:r>
        <w:rPr>
          <w:rFonts w:hint="eastAsia" w:asciiTheme="minorEastAsia" w:hAnsiTheme="minorEastAsia" w:eastAsiaTheme="minorEastAsia"/>
          <w:szCs w:val="21"/>
        </w:rPr>
        <w:t>具体内容包括：货物的制造（采购）、运输、装卸、安装、调试、售后服务等，直至通过采购单位及其他相关部门的验收以及质量保修、免费维保等全部工作，详见竞争性谈判文件。</w:t>
      </w:r>
    </w:p>
    <w:p>
      <w:pPr>
        <w:spacing w:line="360" w:lineRule="exact"/>
        <w:ind w:firstLine="422" w:firstLineChars="200"/>
        <w:rPr>
          <w:b/>
        </w:rPr>
      </w:pPr>
      <w:r>
        <w:rPr>
          <w:rFonts w:hint="eastAsia"/>
          <w:b/>
        </w:rPr>
        <w:t>五、供应商资格要求</w:t>
      </w:r>
      <w:r>
        <w:rPr>
          <w:b/>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r>
        <w:rPr>
          <w:rFonts w:hint="eastAsia" w:cs="宋体" w:asciiTheme="minorEastAsia" w:hAnsiTheme="minorEastAsia" w:eastAsiaTheme="minorEastAsia"/>
          <w:color w:val="000000"/>
          <w:szCs w:val="21"/>
          <w:lang w:eastAsia="zh-CN"/>
        </w:rPr>
        <w:t>；</w:t>
      </w:r>
    </w:p>
    <w:p>
      <w:pPr>
        <w:spacing w:line="360" w:lineRule="exact"/>
        <w:ind w:firstLine="422"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auto"/>
          <w:szCs w:val="21"/>
        </w:rPr>
        <w:t>无</w:t>
      </w:r>
      <w:r>
        <w:rPr>
          <w:rFonts w:hint="eastAsia" w:cs="宋体" w:asciiTheme="minorEastAsia" w:hAnsiTheme="minorEastAsia" w:eastAsiaTheme="minorEastAsia"/>
          <w:color w:val="auto"/>
          <w:szCs w:val="21"/>
          <w:lang w:eastAsia="zh-CN"/>
        </w:rPr>
        <w:t>；</w:t>
      </w:r>
    </w:p>
    <w:p>
      <w:pPr>
        <w:spacing w:line="360" w:lineRule="exact"/>
        <w:ind w:firstLine="422"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本项目不接受联合体投标</w:t>
      </w:r>
      <w:r>
        <w:rPr>
          <w:rFonts w:hint="eastAsia" w:cs="宋体" w:asciiTheme="minorEastAsia" w:hAnsiTheme="minorEastAsia" w:eastAsiaTheme="minorEastAsia"/>
          <w:b/>
          <w:color w:val="auto"/>
          <w:szCs w:val="21"/>
          <w:lang w:eastAsia="zh-CN"/>
        </w:rPr>
        <w:t>。</w:t>
      </w:r>
    </w:p>
    <w:p>
      <w:pPr>
        <w:spacing w:line="360" w:lineRule="exact"/>
        <w:ind w:firstLine="422" w:firstLineChars="200"/>
        <w:rPr>
          <w:rFonts w:cs="宋体" w:asciiTheme="majorEastAsia" w:hAnsiTheme="majorEastAsia" w:eastAsiaTheme="majorEastAsia"/>
          <w:b/>
          <w:szCs w:val="21"/>
        </w:rPr>
      </w:pPr>
      <w:r>
        <w:rPr>
          <w:rFonts w:hint="eastAsia" w:cs="宋体" w:asciiTheme="majorEastAsia" w:hAnsiTheme="majorEastAsia" w:eastAsiaTheme="majorEastAsia"/>
          <w:b/>
          <w:szCs w:val="21"/>
        </w:rPr>
        <w:t>六、获取竞争性谈判文件的时间和办法</w:t>
      </w:r>
    </w:p>
    <w:p>
      <w:pPr>
        <w:spacing w:line="360" w:lineRule="exact"/>
        <w:ind w:firstLine="420" w:firstLineChars="200"/>
        <w:rPr>
          <w:rFonts w:cs="宋体" w:asciiTheme="majorEastAsia" w:hAnsiTheme="majorEastAsia" w:eastAsiaTheme="majorEastAsia"/>
          <w:b/>
          <w:bCs/>
          <w:kern w:val="0"/>
          <w:szCs w:val="21"/>
        </w:rPr>
      </w:pPr>
      <w:r>
        <w:rPr>
          <w:rFonts w:asciiTheme="majorEastAsia" w:hAnsiTheme="majorEastAsia" w:eastAsiaTheme="majorEastAsia"/>
          <w:szCs w:val="21"/>
        </w:rPr>
        <w:t>1.竞争性谈判文件</w:t>
      </w:r>
      <w:r>
        <w:rPr>
          <w:rFonts w:hint="eastAsia" w:asciiTheme="majorEastAsia" w:hAnsiTheme="majorEastAsia" w:eastAsiaTheme="majorEastAsia"/>
          <w:szCs w:val="21"/>
        </w:rPr>
        <w:t>领购</w:t>
      </w:r>
      <w:r>
        <w:rPr>
          <w:rFonts w:asciiTheme="majorEastAsia" w:hAnsiTheme="majorEastAsia" w:eastAsiaTheme="majorEastAsia"/>
          <w:szCs w:val="21"/>
        </w:rPr>
        <w:t>时间</w:t>
      </w:r>
      <w:r>
        <w:rPr>
          <w:rFonts w:hint="eastAsia" w:cs="宋体" w:asciiTheme="majorEastAsia" w:hAnsiTheme="majorEastAsia" w:eastAsiaTheme="majorEastAsia"/>
          <w:kern w:val="0"/>
          <w:szCs w:val="21"/>
        </w:rPr>
        <w:t>：</w:t>
      </w:r>
      <w:r>
        <w:rPr>
          <w:rFonts w:cs="宋体" w:asciiTheme="majorEastAsia" w:hAnsiTheme="majorEastAsia" w:eastAsiaTheme="majorEastAsia"/>
          <w:b/>
          <w:bCs/>
          <w:kern w:val="0"/>
          <w:szCs w:val="21"/>
        </w:rPr>
        <w:t>2019</w:t>
      </w:r>
      <w:r>
        <w:rPr>
          <w:rFonts w:hint="eastAsia" w:cs="宋体" w:asciiTheme="majorEastAsia" w:hAnsiTheme="majorEastAsia" w:eastAsiaTheme="majorEastAsia"/>
          <w:b/>
          <w:bCs/>
          <w:kern w:val="0"/>
          <w:szCs w:val="21"/>
        </w:rPr>
        <w:t>年</w:t>
      </w:r>
      <w:r>
        <w:rPr>
          <w:rFonts w:cs="宋体" w:asciiTheme="majorEastAsia" w:hAnsiTheme="majorEastAsia" w:eastAsiaTheme="majorEastAsia"/>
          <w:b/>
          <w:bCs/>
          <w:kern w:val="0"/>
          <w:szCs w:val="21"/>
        </w:rPr>
        <w:t>11</w:t>
      </w:r>
      <w:r>
        <w:rPr>
          <w:rFonts w:hint="eastAsia" w:cs="宋体" w:asciiTheme="majorEastAsia" w:hAnsiTheme="majorEastAsia" w:eastAsiaTheme="majorEastAsia"/>
          <w:b/>
          <w:bCs/>
          <w:kern w:val="0"/>
          <w:szCs w:val="21"/>
        </w:rPr>
        <w:t>月</w:t>
      </w:r>
      <w:r>
        <w:rPr>
          <w:rFonts w:cs="宋体" w:asciiTheme="majorEastAsia" w:hAnsiTheme="majorEastAsia" w:eastAsiaTheme="majorEastAsia"/>
          <w:b/>
          <w:bCs/>
          <w:kern w:val="0"/>
          <w:szCs w:val="21"/>
        </w:rPr>
        <w:t>6</w:t>
      </w:r>
      <w:r>
        <w:rPr>
          <w:rFonts w:hint="eastAsia" w:cs="宋体" w:asciiTheme="majorEastAsia" w:hAnsiTheme="majorEastAsia" w:eastAsiaTheme="majorEastAsia"/>
          <w:b/>
          <w:bCs/>
          <w:kern w:val="0"/>
          <w:szCs w:val="21"/>
        </w:rPr>
        <w:t>日起</w:t>
      </w:r>
    </w:p>
    <w:p>
      <w:pPr>
        <w:spacing w:line="360" w:lineRule="exact"/>
        <w:ind w:firstLine="420" w:firstLineChars="200"/>
        <w:rPr>
          <w:rFonts w:cs="宋体" w:asciiTheme="majorEastAsia" w:hAnsiTheme="majorEastAsia" w:eastAsiaTheme="majorEastAsia"/>
          <w:kern w:val="0"/>
          <w:szCs w:val="21"/>
        </w:rPr>
      </w:pPr>
      <w:r>
        <w:rPr>
          <w:rFonts w:cs="宋体" w:asciiTheme="majorEastAsia" w:hAnsiTheme="majorEastAsia" w:eastAsiaTheme="majorEastAsia"/>
          <w:szCs w:val="21"/>
        </w:rPr>
        <w:t>2.竞争性谈判文件费用：</w:t>
      </w:r>
      <w:r>
        <w:rPr>
          <w:rFonts w:hint="eastAsia" w:cs="宋体" w:asciiTheme="majorEastAsia" w:hAnsiTheme="majorEastAsia" w:eastAsiaTheme="majorEastAsia"/>
          <w:b/>
          <w:bCs/>
          <w:kern w:val="0"/>
          <w:szCs w:val="21"/>
        </w:rPr>
        <w:t>人民币伍佰元整</w:t>
      </w:r>
      <w:r>
        <w:rPr>
          <w:rFonts w:cs="宋体" w:asciiTheme="majorEastAsia" w:hAnsiTheme="majorEastAsia" w:eastAsiaTheme="majorEastAsia"/>
          <w:b/>
          <w:bCs/>
          <w:kern w:val="0"/>
          <w:szCs w:val="21"/>
        </w:rPr>
        <w:t>（开标现场缴纳）</w:t>
      </w:r>
    </w:p>
    <w:p>
      <w:pPr>
        <w:spacing w:line="360" w:lineRule="exact"/>
        <w:ind w:firstLine="420" w:firstLineChars="200"/>
        <w:rPr>
          <w:rFonts w:cs="宋体" w:asciiTheme="majorEastAsia" w:hAnsiTheme="majorEastAsia" w:eastAsiaTheme="majorEastAsia"/>
          <w:b/>
          <w:szCs w:val="21"/>
        </w:rPr>
      </w:pPr>
      <w:r>
        <w:rPr>
          <w:rFonts w:asciiTheme="majorEastAsia" w:hAnsiTheme="majorEastAsia" w:eastAsiaTheme="majorEastAsia"/>
          <w:szCs w:val="21"/>
        </w:rPr>
        <w:t>3.</w:t>
      </w:r>
      <w:r>
        <w:rPr>
          <w:rFonts w:cs="宋体" w:asciiTheme="majorEastAsia" w:hAnsiTheme="majorEastAsia" w:eastAsiaTheme="majorEastAsia"/>
          <w:szCs w:val="21"/>
        </w:rPr>
        <w:t>竞争性谈判文件</w:t>
      </w:r>
      <w:r>
        <w:rPr>
          <w:rFonts w:asciiTheme="majorEastAsia" w:hAnsiTheme="majorEastAsia" w:eastAsiaTheme="majorEastAsia"/>
          <w:szCs w:val="21"/>
        </w:rPr>
        <w:t>发售地点：</w:t>
      </w:r>
      <w:r>
        <w:rPr>
          <w:rFonts w:asciiTheme="majorEastAsia" w:hAnsiTheme="majorEastAsia" w:eastAsiaTheme="majorEastAsia"/>
          <w:b/>
          <w:bCs/>
          <w:szCs w:val="21"/>
        </w:rPr>
        <w:t>符合条件的</w:t>
      </w:r>
      <w:r>
        <w:rPr>
          <w:rFonts w:hint="eastAsia" w:asciiTheme="majorEastAsia" w:hAnsiTheme="majorEastAsia" w:eastAsiaTheme="majorEastAsia"/>
          <w:b/>
          <w:bCs/>
          <w:szCs w:val="21"/>
        </w:rPr>
        <w:t>供应商</w:t>
      </w:r>
      <w:r>
        <w:rPr>
          <w:rFonts w:asciiTheme="majorEastAsia" w:hAnsiTheme="majorEastAsia" w:eastAsiaTheme="majorEastAsia"/>
          <w:b/>
          <w:bCs/>
          <w:szCs w:val="21"/>
        </w:rPr>
        <w:t>网上自行下载，并按文件要求编制响应文件。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Arial" w:asciiTheme="minorEastAsia" w:hAnsiTheme="minorEastAsia" w:eastAsiaTheme="minorEastAsia"/>
          <w:color w:val="333333"/>
          <w:kern w:val="0"/>
          <w:szCs w:val="21"/>
        </w:rPr>
      </w:pPr>
      <w:r>
        <w:rPr>
          <w:rFonts w:hint="eastAsia" w:cs="Arial" w:asciiTheme="minorEastAsia" w:hAnsiTheme="minorEastAsia" w:eastAsiaTheme="minorEastAsia"/>
          <w:color w:val="333333"/>
          <w:kern w:val="0"/>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八、谈判保证金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人民币叁仟元整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同谈判响应文件提交截止时间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谈判响应文件提交时间：20</w:t>
      </w:r>
      <w:r>
        <w:rPr>
          <w:rFonts w:asciiTheme="minorEastAsia" w:hAnsiTheme="minorEastAsia" w:eastAsiaTheme="minorEastAsia"/>
          <w:b/>
          <w:bCs/>
          <w:szCs w:val="21"/>
        </w:rPr>
        <w:t>19</w:t>
      </w:r>
      <w:r>
        <w:rPr>
          <w:rFonts w:hint="eastAsia" w:asciiTheme="minorEastAsia" w:hAnsiTheme="minorEastAsia" w:eastAsiaTheme="minorEastAsia"/>
          <w:b/>
          <w:bCs/>
          <w:szCs w:val="21"/>
        </w:rPr>
        <w:t>年</w:t>
      </w:r>
      <w:r>
        <w:rPr>
          <w:rFonts w:asciiTheme="minorEastAsia" w:hAnsiTheme="minorEastAsia" w:eastAsiaTheme="minorEastAsia"/>
          <w:b/>
          <w:bCs/>
          <w:szCs w:val="21"/>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日13:30-14:00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谈判响应文件提交截止暨谈判时间：20</w:t>
      </w:r>
      <w:r>
        <w:rPr>
          <w:rFonts w:asciiTheme="minorEastAsia" w:hAnsiTheme="minorEastAsia" w:eastAsiaTheme="minorEastAsia"/>
          <w:b/>
          <w:bCs/>
          <w:szCs w:val="21"/>
        </w:rPr>
        <w:t>19</w:t>
      </w:r>
      <w:r>
        <w:rPr>
          <w:rFonts w:hint="eastAsia" w:asciiTheme="minorEastAsia" w:hAnsiTheme="minorEastAsia" w:eastAsiaTheme="minorEastAsia"/>
          <w:b/>
          <w:bCs/>
          <w:szCs w:val="21"/>
        </w:rPr>
        <w:t>年</w:t>
      </w:r>
      <w:r>
        <w:rPr>
          <w:rFonts w:asciiTheme="minorEastAsia" w:hAnsiTheme="minorEastAsia" w:eastAsiaTheme="minorEastAsia"/>
          <w:b/>
          <w:bCs/>
          <w:szCs w:val="21"/>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日14:00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pacing w:line="360" w:lineRule="exac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 xml:space="preserve">    谈判响应文件提交地点暨谈判地点：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napToGrid w:val="0"/>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代理机构</w:t>
      </w:r>
      <w:r>
        <w:rPr>
          <w:rFonts w:cs="宋体" w:asciiTheme="minorEastAsia" w:hAnsiTheme="minorEastAsia" w:eastAsiaTheme="minorEastAsia"/>
          <w:color w:val="0C0C0C" w:themeColor="text1" w:themeTint="F2"/>
          <w:szCs w:val="21"/>
        </w:rPr>
        <w:t>联系人：</w:t>
      </w:r>
      <w:r>
        <w:rPr>
          <w:rFonts w:hint="eastAsia" w:cs="宋体" w:asciiTheme="minorEastAsia" w:hAnsiTheme="minorEastAsia" w:eastAsiaTheme="minorEastAsia"/>
          <w:color w:val="0C0C0C" w:themeColor="text1" w:themeTint="F2"/>
          <w:szCs w:val="21"/>
        </w:rPr>
        <w:t xml:space="preserve">袁  </w:t>
      </w:r>
      <w:r>
        <w:rPr>
          <w:rFonts w:cs="宋体" w:asciiTheme="minorEastAsia" w:hAnsiTheme="minorEastAsia" w:eastAsiaTheme="minorEastAsia"/>
          <w:color w:val="0C0C0C" w:themeColor="text1" w:themeTint="F2"/>
          <w:szCs w:val="21"/>
        </w:rPr>
        <w:t>婷</w:t>
      </w:r>
    </w:p>
    <w:p>
      <w:pPr>
        <w:snapToGrid w:val="0"/>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联系电话：0519-81580152  81580191  81580192（分机号6013）</w:t>
      </w:r>
    </w:p>
    <w:p>
      <w:pPr>
        <w:snapToGrid w:val="0"/>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传    真：0519-81580105</w:t>
      </w:r>
    </w:p>
    <w:p>
      <w:pPr>
        <w:snapToGrid w:val="0"/>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地    址：常州市新北区通江中路396号中创大厦4楼</w:t>
      </w:r>
    </w:p>
    <w:p>
      <w:pPr>
        <w:snapToGrid w:val="0"/>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网    址：http://www.czctzb.com    邮    箱：czctzb@163.com</w:t>
      </w:r>
    </w:p>
    <w:p>
      <w:pPr>
        <w:snapToGrid w:val="0"/>
        <w:spacing w:line="360" w:lineRule="exact"/>
        <w:ind w:firstLine="420" w:firstLineChars="200"/>
        <w:rPr>
          <w:rFonts w:hint="eastAsia" w:asciiTheme="minorEastAsia" w:hAnsiTheme="minorEastAsia" w:eastAsiaTheme="minorEastAsia"/>
          <w:color w:val="0C0C0C" w:themeColor="text1" w:themeTint="F2"/>
          <w:szCs w:val="21"/>
          <w:lang w:eastAsia="zh-CN"/>
        </w:rPr>
      </w:pPr>
      <w:r>
        <w:rPr>
          <w:rFonts w:hint="eastAsia" w:asciiTheme="minorEastAsia" w:hAnsiTheme="minorEastAsia" w:eastAsiaTheme="minorEastAsia"/>
          <w:color w:val="0C0C0C" w:themeColor="text1" w:themeTint="F2"/>
          <w:szCs w:val="21"/>
        </w:rPr>
        <w:t>采购人名称：</w:t>
      </w:r>
      <w:r>
        <w:rPr>
          <w:rFonts w:hint="eastAsia" w:asciiTheme="minorEastAsia" w:hAnsiTheme="minorEastAsia" w:eastAsiaTheme="minorEastAsia"/>
          <w:color w:val="0C0C0C" w:themeColor="text1" w:themeTint="F2"/>
          <w:szCs w:val="21"/>
          <w:lang w:eastAsia="zh-CN"/>
        </w:rPr>
        <w:t>常州市西林实验小学（小学部）</w:t>
      </w:r>
    </w:p>
    <w:p>
      <w:pPr>
        <w:snapToGrid w:val="0"/>
        <w:spacing w:line="360" w:lineRule="exact"/>
        <w:ind w:firstLine="420" w:firstLineChars="200"/>
        <w:rPr>
          <w:rFonts w:asciiTheme="minorEastAsia" w:hAnsiTheme="minorEastAsia" w:eastAsiaTheme="minorEastAsia"/>
          <w:color w:val="0C0C0C" w:themeColor="text1" w:themeTint="F2"/>
          <w:szCs w:val="21"/>
        </w:rPr>
      </w:pPr>
      <w:r>
        <w:rPr>
          <w:rFonts w:hint="eastAsia" w:asciiTheme="minorEastAsia" w:hAnsiTheme="minorEastAsia" w:eastAsiaTheme="minorEastAsia"/>
          <w:color w:val="0C0C0C" w:themeColor="text1" w:themeTint="F2"/>
          <w:szCs w:val="21"/>
        </w:rPr>
        <w:t>联 系 人：</w:t>
      </w:r>
      <w:r>
        <w:rPr>
          <w:rFonts w:hint="eastAsia" w:asciiTheme="minorEastAsia" w:hAnsiTheme="minorEastAsia" w:eastAsiaTheme="minorEastAsia"/>
          <w:color w:val="0C0C0C" w:themeColor="text1" w:themeTint="F2"/>
          <w:szCs w:val="21"/>
          <w:lang w:eastAsia="zh-CN"/>
        </w:rPr>
        <w:t>包国平</w:t>
      </w:r>
      <w:r>
        <w:rPr>
          <w:rFonts w:hint="eastAsia" w:asciiTheme="minorEastAsia" w:hAnsiTheme="minorEastAsia" w:eastAsiaTheme="minorEastAsia"/>
          <w:color w:val="0C0C0C" w:themeColor="text1" w:themeTint="F2"/>
          <w:spacing w:val="2"/>
          <w:szCs w:val="21"/>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rPr>
      </w:pPr>
      <w:r>
        <w:rPr>
          <w:rFonts w:hint="eastAsia" w:asciiTheme="minorEastAsia" w:hAnsiTheme="minorEastAsia" w:eastAsiaTheme="minorEastAsia"/>
          <w:color w:val="0C0C0C" w:themeColor="text1" w:themeTint="F2"/>
          <w:szCs w:val="21"/>
        </w:rPr>
        <w:t>联系电话：</w:t>
      </w:r>
      <w:r>
        <w:rPr>
          <w:rFonts w:hint="eastAsia" w:asciiTheme="minorEastAsia" w:hAnsiTheme="minorEastAsia" w:eastAsiaTheme="minorEastAsia"/>
          <w:color w:val="0C0C0C" w:themeColor="text1" w:themeTint="F2"/>
          <w:spacing w:val="2"/>
          <w:szCs w:val="21"/>
          <w:lang w:val="en-US" w:eastAsia="zh-CN"/>
        </w:rPr>
        <w:t>13616102786</w:t>
      </w:r>
      <w:r>
        <w:rPr>
          <w:rFonts w:hint="eastAsia" w:asciiTheme="minorEastAsia" w:hAnsiTheme="minorEastAsia" w:eastAsiaTheme="minorEastAsia"/>
          <w:color w:val="0C0C0C" w:themeColor="text1" w:themeTint="F2"/>
          <w:spacing w:val="2"/>
          <w:szCs w:val="21"/>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rPr>
      </w:pPr>
      <w:r>
        <w:rPr>
          <w:rFonts w:hint="eastAsia" w:asciiTheme="minorEastAsia" w:hAnsiTheme="minorEastAsia" w:eastAsiaTheme="minorEastAsia"/>
          <w:color w:val="0C0C0C" w:themeColor="text1" w:themeTint="F2"/>
          <w:szCs w:val="21"/>
        </w:rPr>
        <w:t>联系地址：江苏省常州市钟楼区西林路蒋家村96号</w:t>
      </w:r>
    </w:p>
    <w:p>
      <w:pPr>
        <w:spacing w:line="360" w:lineRule="exact"/>
        <w:ind w:right="360"/>
        <w:jc w:val="right"/>
        <w:rPr>
          <w:rFonts w:cs="宋体" w:asciiTheme="minorEastAsia" w:hAnsiTheme="minorEastAsia" w:eastAsiaTheme="minorEastAsia"/>
          <w:szCs w:val="21"/>
        </w:rPr>
      </w:pPr>
    </w:p>
    <w:p>
      <w:pPr>
        <w:spacing w:line="360" w:lineRule="exact"/>
        <w:ind w:right="112"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12"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rPr>
        <w:t>20</w:t>
      </w:r>
      <w:r>
        <w:rPr>
          <w:rFonts w:cs="宋体" w:asciiTheme="minorEastAsia" w:hAnsiTheme="minorEastAsia" w:eastAsiaTheme="minorEastAsia"/>
          <w:szCs w:val="21"/>
        </w:rPr>
        <w:t>19</w:t>
      </w:r>
      <w:r>
        <w:rPr>
          <w:rFonts w:hint="eastAsia" w:cs="宋体" w:asciiTheme="minorEastAsia" w:hAnsiTheme="minorEastAsia" w:eastAsiaTheme="minorEastAsia"/>
          <w:szCs w:val="21"/>
        </w:rPr>
        <w:t>年</w:t>
      </w:r>
      <w:r>
        <w:rPr>
          <w:rFonts w:cs="宋体" w:asciiTheme="minorEastAsia" w:hAnsiTheme="minorEastAsia" w:eastAsiaTheme="minorEastAsia"/>
          <w:szCs w:val="21"/>
        </w:rPr>
        <w:t>11</w:t>
      </w:r>
      <w:r>
        <w:rPr>
          <w:rFonts w:hint="eastAsia" w:cs="宋体" w:asciiTheme="minorEastAsia" w:hAnsiTheme="minorEastAsia" w:eastAsiaTheme="minorEastAsia"/>
          <w:szCs w:val="21"/>
        </w:rPr>
        <w:t>月</w:t>
      </w:r>
      <w:r>
        <w:rPr>
          <w:rFonts w:cs="宋体" w:asciiTheme="minorEastAsia" w:hAnsiTheme="minorEastAsia" w:eastAsiaTheme="minorEastAsia"/>
          <w:szCs w:val="21"/>
        </w:rPr>
        <w:t>6</w:t>
      </w:r>
      <w:r>
        <w:rPr>
          <w:rFonts w:hint="eastAsia" w:cs="宋体" w:asciiTheme="minorEastAsia" w:hAnsiTheme="minorEastAsia" w:eastAsiaTheme="minorEastAsia"/>
          <w:szCs w:val="21"/>
        </w:rPr>
        <w:t>日</w:t>
      </w:r>
    </w:p>
    <w:p>
      <w:pPr>
        <w:pStyle w:val="2"/>
      </w:pPr>
      <w:bookmarkStart w:id="3" w:name="_Toc17536925"/>
      <w:r>
        <w:br w:type="page"/>
      </w:r>
    </w:p>
    <w:p>
      <w:pPr>
        <w:pStyle w:val="2"/>
      </w:pPr>
      <w:r>
        <w:rPr>
          <w:rFonts w:hint="eastAsia"/>
        </w:rPr>
        <w:t>第一章    总     则</w:t>
      </w:r>
      <w:bookmarkEnd w:id="3"/>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本次采购采取竞争性谈判方式，本竞争性谈判文件仅适用于谈判公告中所述项目。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2.合格的供应商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2.1满足公告中供应商的资格要求的规定。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谈判费用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本文件及依法对本文件所作的更正内容均为竞争性谈判文件的组成部分。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供应商应仔细检查竞争性谈判文件是否齐全，如有缺漏，立即与代理机构联系解决。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供应商一旦参加本项目采购活动，即被认为接受了本竞争性谈判文件的规定和约束。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招投标网、常州市城投建设工程招标有限公司网</w:t>
      </w:r>
      <w:r>
        <w:rPr>
          <w:rFonts w:hint="eastAsia" w:ascii="宋体" w:hAnsi="宋体"/>
          <w:b/>
          <w:szCs w:val="21"/>
        </w:rPr>
        <w:t>公告</w:t>
      </w:r>
      <w:r>
        <w:rPr>
          <w:rFonts w:hint="eastAsia" w:hAnsi="宋体"/>
          <w:b/>
          <w:szCs w:val="21"/>
        </w:rPr>
        <w:t>。上述内容将作为竞争性谈判文件的组成部分，并对供应商具有约束力，由供应商自行关注并获取。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6.供应商的义务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7.谈判报价</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7.1 本项目谈判报价应包括完成该项货物或者服务项目所涉及到的一切相关费用，采购人不再支付其他任何费用。</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7.2 谈判报价方式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7.2.2报价货币为人民币，评审时以人民币为准。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谈判报价高于最高限价的作为无效响应处理。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7.2.4</w:t>
      </w:r>
      <w:r>
        <w:rPr>
          <w:rFonts w:hint="eastAsia" w:ascii="宋体" w:hAnsi="宋体"/>
          <w:szCs w:val="21"/>
        </w:rPr>
        <w:t>谈判报价次数：本项目采用</w:t>
      </w:r>
      <w:r>
        <w:rPr>
          <w:rFonts w:hint="eastAsia" w:ascii="宋体" w:hAnsi="宋体"/>
          <w:b/>
          <w:bCs/>
          <w:color w:val="0C0C0C" w:themeColor="text1" w:themeTint="F2"/>
          <w:szCs w:val="21"/>
          <w:u w:val="none"/>
        </w:rPr>
        <w:t>至少二</w:t>
      </w:r>
      <w:r>
        <w:rPr>
          <w:rFonts w:hint="eastAsia" w:ascii="宋体" w:hAnsi="宋体"/>
          <w:b/>
          <w:bCs/>
          <w:szCs w:val="21"/>
        </w:rPr>
        <w:t>次</w:t>
      </w:r>
      <w:r>
        <w:rPr>
          <w:rFonts w:hint="eastAsia" w:ascii="宋体" w:hAnsi="宋体"/>
          <w:szCs w:val="21"/>
        </w:rPr>
        <w:t>报价，谈判响应文件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详见第五章《谈判响应文件的组成》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在谈判响应文件提交截止时间之后，供应商不得对其谈判响应文件作任何修改。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15.谈判仪式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16.谈判小组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谈判小组负责具体的评审事务，并独立履行以下职责：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谈判小组成员应当履行下列义务：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16.3.3对评审过程和结果，以及供应商的商业秘密保密；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5"/>
        <w:keepNext w:val="0"/>
        <w:keepLines w:val="0"/>
        <w:pageBreakBefore w:val="0"/>
        <w:widowControl w:val="0"/>
        <w:kinsoku/>
        <w:wordWrap/>
        <w:overflowPunct w:val="0"/>
        <w:topLinePunct w:val="0"/>
        <w:bidi w:val="0"/>
        <w:adjustRightInd w:val="0"/>
        <w:snapToGrid w:val="0"/>
        <w:spacing w:line="360" w:lineRule="exact"/>
        <w:ind w:firstLine="422" w:firstLineChars="200"/>
        <w:textAlignment w:val="auto"/>
        <w:rPr>
          <w:rFonts w:hAnsi="宋体" w:cs="宋体"/>
          <w:sz w:val="21"/>
          <w:szCs w:val="21"/>
        </w:rPr>
      </w:pPr>
      <w:r>
        <w:rPr>
          <w:rFonts w:hint="eastAsia" w:hAnsi="宋体" w:cs="宋体"/>
          <w:b/>
          <w:sz w:val="21"/>
          <w:szCs w:val="21"/>
        </w:rPr>
        <w:t>18.3 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供应商未通过领购申请的或者在名称上和法人地位上与领购情况发生实质性改变的；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谈判响应文件提交时未按规定密封、盖章的，</w:t>
      </w:r>
      <w:r>
        <w:rPr>
          <w:rFonts w:ascii="宋体" w:hAnsi="宋体" w:cs="宋体"/>
          <w:szCs w:val="21"/>
        </w:rPr>
        <w:t>电子光盘未提供或未单独密封的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lang w:eastAsia="zh-CN"/>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r>
        <w:rPr>
          <w:rFonts w:hint="eastAsia" w:ascii="宋体" w:hAnsi="宋体" w:cs="宋体"/>
          <w:b/>
          <w:szCs w:val="21"/>
          <w:lang w:eastAsia="zh-CN"/>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color w:val="0C0C0C" w:themeColor="text1" w:themeTint="F2"/>
          <w:szCs w:val="21"/>
        </w:rPr>
      </w:pPr>
      <w:r>
        <w:rPr>
          <w:rFonts w:ascii="宋体" w:hAnsi="宋体" w:cs="宋体"/>
          <w:color w:val="0C0C0C" w:themeColor="text1" w:themeTint="F2"/>
          <w:szCs w:val="21"/>
        </w:rPr>
        <w:t>18.3.6</w:t>
      </w:r>
      <w:r>
        <w:rPr>
          <w:rFonts w:hint="eastAsia" w:ascii="宋体" w:hAnsi="宋体" w:cs="宋体"/>
          <w:color w:val="0C0C0C" w:themeColor="text1" w:themeTint="F2"/>
          <w:szCs w:val="21"/>
        </w:rPr>
        <w:t>未按要求</w:t>
      </w:r>
      <w:r>
        <w:rPr>
          <w:rFonts w:ascii="宋体" w:hAnsi="宋体" w:cs="宋体"/>
          <w:color w:val="0C0C0C" w:themeColor="text1" w:themeTint="F2"/>
          <w:szCs w:val="21"/>
        </w:rPr>
        <w:t>提供</w:t>
      </w:r>
      <w:r>
        <w:rPr>
          <w:rFonts w:hint="eastAsia" w:ascii="宋体" w:hAnsi="宋体" w:cs="宋体"/>
          <w:color w:val="0C0C0C" w:themeColor="text1" w:themeTint="F2"/>
          <w:szCs w:val="21"/>
        </w:rPr>
        <w:t>带</w:t>
      </w:r>
      <w:r>
        <w:rPr>
          <w:rFonts w:ascii="宋体" w:hAnsi="宋体" w:cs="宋体"/>
          <w:color w:val="0C0C0C" w:themeColor="text1" w:themeTint="F2"/>
          <w:szCs w:val="21"/>
        </w:rPr>
        <w:t>“*”</w:t>
      </w:r>
      <w:r>
        <w:rPr>
          <w:rFonts w:hint="eastAsia" w:ascii="宋体" w:hAnsi="宋体" w:cs="宋体"/>
          <w:color w:val="0C0C0C" w:themeColor="text1" w:themeTint="F2"/>
          <w:szCs w:val="21"/>
        </w:rPr>
        <w:t>项材料或者</w:t>
      </w:r>
      <w:r>
        <w:rPr>
          <w:rFonts w:ascii="宋体" w:hAnsi="宋体" w:cs="宋体"/>
          <w:color w:val="0C0C0C" w:themeColor="text1" w:themeTint="F2"/>
          <w:szCs w:val="21"/>
        </w:rPr>
        <w:t>与</w:t>
      </w:r>
      <w:r>
        <w:rPr>
          <w:rFonts w:hint="eastAsia" w:ascii="宋体" w:hAnsi="宋体" w:cs="宋体"/>
          <w:color w:val="0C0C0C" w:themeColor="text1" w:themeTint="F2"/>
          <w:szCs w:val="21"/>
        </w:rPr>
        <w:t>带</w:t>
      </w:r>
      <w:r>
        <w:rPr>
          <w:rFonts w:ascii="宋体" w:hAnsi="宋体" w:cs="宋体"/>
          <w:color w:val="0C0C0C" w:themeColor="text1" w:themeTint="F2"/>
          <w:szCs w:val="21"/>
        </w:rPr>
        <w:t>“*”</w:t>
      </w:r>
      <w:r>
        <w:rPr>
          <w:rFonts w:hint="eastAsia" w:ascii="宋体" w:hAnsi="宋体" w:cs="宋体"/>
          <w:color w:val="0C0C0C" w:themeColor="text1" w:themeTint="F2"/>
          <w:szCs w:val="21"/>
        </w:rPr>
        <w:t>项内容存在</w:t>
      </w:r>
      <w:r>
        <w:rPr>
          <w:rFonts w:ascii="宋体" w:hAnsi="宋体" w:cs="宋体"/>
          <w:color w:val="0C0C0C" w:themeColor="text1" w:themeTint="F2"/>
          <w:szCs w:val="21"/>
        </w:rPr>
        <w:t>负偏离</w:t>
      </w:r>
      <w:r>
        <w:rPr>
          <w:rFonts w:hint="eastAsia" w:ascii="宋体" w:hAnsi="宋体" w:cs="宋体"/>
          <w:color w:val="0C0C0C" w:themeColor="text1" w:themeTint="F2"/>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19.5供应商拒不按照谈判小组要求作出澄清、说明或者补正的，作为无效响应处理。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5"/>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.1提供虚假材料谋取成交的；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.5与采购人或者其他供应商恶意串通的。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w:t>
      </w:r>
      <w:r>
        <w:rPr>
          <w:rFonts w:hint="eastAsia" w:hAnsi="宋体" w:cs="宋体"/>
          <w:color w:val="0C0C0C" w:themeColor="text1" w:themeTint="F2"/>
          <w:sz w:val="21"/>
          <w:szCs w:val="21"/>
        </w:rPr>
        <w:t>证金。</w:t>
      </w:r>
    </w:p>
    <w:p>
      <w:pPr>
        <w:pStyle w:val="5"/>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2869" w:type="dxa"/>
          </w:tcPr>
          <w:p>
            <w:pPr>
              <w:keepNext w:val="0"/>
              <w:keepLines w:val="0"/>
              <w:pageBreakBefore w:val="0"/>
              <w:widowControl w:val="0"/>
              <w:kinsoku/>
              <w:wordWrap/>
              <w:topLinePunct w:val="0"/>
              <w:bidi w:val="0"/>
              <w:adjustRightInd w:val="0"/>
              <w:snapToGrid w:val="0"/>
              <w:spacing w:line="360" w:lineRule="exact"/>
              <w:ind w:firstLine="945" w:firstLineChars="450"/>
              <w:textAlignment w:val="auto"/>
              <w:rPr>
                <w:rFonts w:ascii="宋体" w:hAnsi="宋体" w:cs="宋体"/>
                <w:bCs/>
                <w:szCs w:val="21"/>
              </w:rPr>
            </w:pPr>
            <w:r>
              <w:rPr>
                <w:rFonts w:ascii="宋体" w:hAnsi="宋体" w:cs="宋体"/>
                <w:bCs/>
                <w:szCs w:val="21"/>
              </w:rPr>
              <w:pict>
                <v:line id="Line 47" o:spid="_x0000_s1041" o:spt="20" style="position:absolute;left:0pt;flip:x y;margin-left:27pt;margin-top:0.35pt;height:118.8pt;width:111.25pt;z-index:25167974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on="f" focussize="0,0"/>
                  <v:stroke color="#000000"/>
                  <v:imagedata o:title=""/>
                  <o:lock v:ext="edit" aspectratio="f"/>
                </v:line>
              </w:pict>
            </w:r>
            <w:r>
              <w:rPr>
                <w:rFonts w:ascii="宋体" w:hAnsi="宋体" w:cs="宋体"/>
                <w:bCs/>
                <w:szCs w:val="21"/>
              </w:rPr>
              <w:pict>
                <v:line id="Line 45" o:spid="_x0000_s103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keepNext w:val="0"/>
              <w:keepLines w:val="0"/>
              <w:pageBreakBefore w:val="0"/>
              <w:widowControl w:val="0"/>
              <w:kinsoku/>
              <w:wordWrap/>
              <w:topLinePunct w:val="0"/>
              <w:bidi w:val="0"/>
              <w:adjustRightInd w:val="0"/>
              <w:snapToGrid w:val="0"/>
              <w:spacing w:line="360" w:lineRule="exact"/>
              <w:ind w:firstLine="210" w:firstLineChars="100"/>
              <w:textAlignment w:val="auto"/>
              <w:rPr>
                <w:rFonts w:ascii="宋体" w:hAnsi="宋体" w:cs="宋体"/>
                <w:bCs/>
                <w:szCs w:val="21"/>
              </w:rPr>
            </w:pPr>
            <w:r>
              <w:rPr>
                <w:rFonts w:hint="eastAsia" w:ascii="宋体" w:hAnsi="宋体" w:cs="宋体"/>
                <w:bCs/>
                <w:szCs w:val="21"/>
              </w:rPr>
              <w:t>费　　　  务</w:t>
            </w:r>
          </w:p>
          <w:p>
            <w:pPr>
              <w:keepNext w:val="0"/>
              <w:keepLines w:val="0"/>
              <w:pageBreakBefore w:val="0"/>
              <w:widowControl w:val="0"/>
              <w:kinsoku/>
              <w:wordWrap/>
              <w:topLinePunct w:val="0"/>
              <w:bidi w:val="0"/>
              <w:adjustRightInd w:val="0"/>
              <w:snapToGrid w:val="0"/>
              <w:spacing w:line="360" w:lineRule="exact"/>
              <w:ind w:firstLine="1260" w:firstLineChars="600"/>
              <w:textAlignment w:val="auto"/>
              <w:rPr>
                <w:rFonts w:ascii="宋体" w:hAnsi="宋体" w:cs="宋体"/>
                <w:bCs/>
                <w:szCs w:val="21"/>
              </w:rPr>
            </w:pPr>
            <w:r>
              <w:rPr>
                <w:rFonts w:ascii="宋体" w:hAnsi="宋体" w:cs="宋体"/>
                <w:bCs/>
                <w:szCs w:val="21"/>
              </w:rPr>
              <w:pict>
                <v:line id="Line 46" o:spid="_x0000_s1040" o:spt="20" style="position:absolute;left:0pt;flip:x y;margin-left:-6.55pt;margin-top:7.15pt;height:76.25pt;width:144.85pt;z-index:25167872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on="f" focussize="0,0"/>
                  <v:stroke color="#000000"/>
                  <v:imagedata o:title=""/>
                  <o:lock v:ext="edit" aspectratio="f"/>
                </v:line>
              </w:pict>
            </w:r>
            <w:r>
              <w:rPr>
                <w:rFonts w:hint="eastAsia" w:ascii="宋体" w:hAnsi="宋体" w:cs="宋体"/>
                <w:bCs/>
                <w:szCs w:val="21"/>
              </w:rPr>
              <w:t>　  类</w:t>
            </w:r>
          </w:p>
          <w:p>
            <w:pPr>
              <w:keepNext w:val="0"/>
              <w:keepLines w:val="0"/>
              <w:pageBreakBefore w:val="0"/>
              <w:widowControl w:val="0"/>
              <w:kinsoku/>
              <w:wordWrap/>
              <w:topLinePunct w:val="0"/>
              <w:bidi w:val="0"/>
              <w:adjustRightInd w:val="0"/>
              <w:snapToGrid w:val="0"/>
              <w:spacing w:line="360" w:lineRule="exact"/>
              <w:ind w:firstLine="1050" w:firstLineChars="500"/>
              <w:textAlignment w:val="auto"/>
              <w:rPr>
                <w:rFonts w:ascii="宋体" w:hAnsi="宋体" w:cs="宋体"/>
                <w:bCs/>
                <w:szCs w:val="21"/>
              </w:rPr>
            </w:pPr>
            <w:r>
              <w:rPr>
                <w:rFonts w:hint="eastAsia" w:ascii="宋体" w:hAnsi="宋体" w:cs="宋体"/>
                <w:bCs/>
                <w:szCs w:val="21"/>
              </w:rPr>
              <w:t>率　     型</w:t>
            </w:r>
          </w:p>
          <w:p>
            <w:pPr>
              <w:keepNext w:val="0"/>
              <w:keepLines w:val="0"/>
              <w:pageBreakBefore w:val="0"/>
              <w:widowControl w:val="0"/>
              <w:kinsoku/>
              <w:wordWrap/>
              <w:topLinePunct w:val="0"/>
              <w:bidi w:val="0"/>
              <w:adjustRightInd w:val="0"/>
              <w:snapToGrid w:val="0"/>
              <w:spacing w:line="360" w:lineRule="exact"/>
              <w:ind w:firstLine="1050" w:firstLineChars="500"/>
              <w:textAlignment w:val="auto"/>
              <w:rPr>
                <w:rFonts w:ascii="宋体" w:hAnsi="宋体" w:cs="宋体"/>
                <w:bCs/>
                <w:szCs w:val="21"/>
              </w:rPr>
            </w:pPr>
            <w:r>
              <w:rPr>
                <w:rFonts w:hint="eastAsia" w:ascii="宋体" w:hAnsi="宋体" w:cs="宋体"/>
                <w:bCs/>
                <w:szCs w:val="21"/>
              </w:rPr>
              <w:t>　　　　</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Cs/>
                <w:szCs w:val="21"/>
              </w:rPr>
            </w:pPr>
            <w:r>
              <w:rPr>
                <w:rFonts w:hint="eastAsia" w:ascii="宋体" w:hAnsi="宋体" w:cs="宋体"/>
                <w:bCs/>
                <w:szCs w:val="21"/>
              </w:rPr>
              <w:t>成交金额（万元）</w:t>
            </w:r>
          </w:p>
        </w:tc>
        <w:tc>
          <w:tcPr>
            <w:tcW w:w="2143" w:type="dxa"/>
            <w:vAlign w:val="center"/>
          </w:tcPr>
          <w:p>
            <w:pPr>
              <w:keepNext w:val="0"/>
              <w:keepLines w:val="0"/>
              <w:pageBreakBefore w:val="0"/>
              <w:widowControl w:val="0"/>
              <w:kinsoku/>
              <w:wordWrap/>
              <w:topLinePunct w:val="0"/>
              <w:bidi w:val="0"/>
              <w:adjustRightInd w:val="0"/>
              <w:snapToGrid w:val="0"/>
              <w:spacing w:line="360" w:lineRule="exact"/>
              <w:jc w:val="center"/>
              <w:textAlignment w:val="auto"/>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143" w:type="dxa"/>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143" w:type="dxa"/>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vAlign w:val="center"/>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143" w:type="dxa"/>
            <w:vAlign w:val="center"/>
          </w:tcPr>
          <w:p>
            <w:pPr>
              <w:keepNext w:val="0"/>
              <w:keepLines w:val="0"/>
              <w:pageBreakBefore w:val="0"/>
              <w:widowControl w:val="0"/>
              <w:kinsoku/>
              <w:wordWrap/>
              <w:topLinePunct w:val="0"/>
              <w:bidi w:val="0"/>
              <w:adjustRightInd w:val="0"/>
              <w:snapToGrid w:val="0"/>
              <w:spacing w:line="36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keepNext w:val="0"/>
              <w:keepLines w:val="0"/>
              <w:pageBreakBefore w:val="0"/>
              <w:widowControl w:val="0"/>
              <w:kinsoku/>
              <w:wordWrap/>
              <w:topLinePunct w:val="0"/>
              <w:bidi w:val="0"/>
              <w:adjustRightInd w:val="0"/>
              <w:snapToGrid w:val="0"/>
              <w:spacing w:line="360" w:lineRule="exact"/>
              <w:jc w:val="center"/>
              <w:textAlignment w:val="auto"/>
              <w:rPr>
                <w:rFonts w:ascii="宋体" w:hAnsi="宋体" w:cs="宋体"/>
                <w:szCs w:val="21"/>
              </w:rPr>
            </w:pPr>
            <w:r>
              <w:rPr>
                <w:rFonts w:hint="eastAsia" w:ascii="宋体" w:hAnsi="宋体" w:cs="宋体"/>
                <w:szCs w:val="21"/>
              </w:rPr>
              <w:t>……</w:t>
            </w:r>
          </w:p>
        </w:tc>
        <w:tc>
          <w:tcPr>
            <w:tcW w:w="2143" w:type="dxa"/>
          </w:tcPr>
          <w:p>
            <w:pPr>
              <w:keepNext w:val="0"/>
              <w:keepLines w:val="0"/>
              <w:pageBreakBefore w:val="0"/>
              <w:widowControl w:val="0"/>
              <w:kinsoku/>
              <w:wordWrap/>
              <w:topLinePunct w:val="0"/>
              <w:bidi w:val="0"/>
              <w:adjustRightInd w:val="0"/>
              <w:snapToGrid w:val="0"/>
              <w:spacing w:line="360" w:lineRule="exact"/>
              <w:jc w:val="center"/>
              <w:textAlignment w:val="auto"/>
              <w:rPr>
                <w:rFonts w:ascii="宋体" w:hAnsi="宋体" w:cs="宋体"/>
                <w:szCs w:val="21"/>
              </w:rPr>
            </w:pPr>
            <w:r>
              <w:rPr>
                <w:rFonts w:hint="eastAsia" w:ascii="宋体" w:hAnsi="宋体" w:cs="宋体"/>
                <w:szCs w:val="21"/>
              </w:rPr>
              <w:t>……</w:t>
            </w:r>
          </w:p>
        </w:tc>
      </w:tr>
    </w:tbl>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.2服务费按照上述标准收取并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，成交供应商应在领取成交通知书时将代理机构服务费付至常州市城投建设工程招标有限公司账户。</w:t>
      </w:r>
      <w:r>
        <w:rPr>
          <w:rFonts w:ascii="宋体" w:hAnsi="宋体" w:cs="宋体"/>
          <w:b/>
          <w:color w:val="FF0000"/>
          <w:szCs w:val="21"/>
        </w:rPr>
        <w:pict>
          <v:shape id="任意多边形 5" o:spid="_x0000_s1042" style="position:absolute;left:0pt;margin-left:161.85pt;margin-top:17.65pt;height:0.75pt;width:0pt;mso-position-horizontal-relative:page;z-index:-251631616;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keepNext w:val="0"/>
        <w:keepLines w:val="0"/>
        <w:pageBreakBefore w:val="0"/>
        <w:widowControl w:val="0"/>
        <w:kinsoku/>
        <w:wordWrap/>
        <w:topLinePunct w:val="0"/>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.3代理机构服务收费按差额定率累进法计算。 </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.2竞争性谈判文件、成交供应商的谈判响应文件及谈判过程中有关澄清、承诺文件均应作为合同附件。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szCs w:val="21"/>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p>
    <w:p>
      <w:pPr>
        <w:pStyle w:val="2"/>
      </w:pPr>
      <w:bookmarkStart w:id="4" w:name="_Toc17536926"/>
      <w:r>
        <w:rPr>
          <w:rFonts w:hint="eastAsia"/>
        </w:rPr>
        <w:t>第二章  采购项目及技术要求</w:t>
      </w:r>
      <w:bookmarkEnd w:id="4"/>
    </w:p>
    <w:p>
      <w:pPr>
        <w:pStyle w:val="57"/>
        <w:numPr>
          <w:ilvl w:val="0"/>
          <w:numId w:val="1"/>
        </w:numPr>
        <w:snapToGrid w:val="0"/>
        <w:spacing w:line="360" w:lineRule="exact"/>
        <w:ind w:firstLineChars="0"/>
        <w:rPr>
          <w:rFonts w:asciiTheme="minorEastAsia" w:hAnsiTheme="minorEastAsia" w:eastAsiaTheme="minorEastAsia"/>
          <w:b/>
          <w:color w:val="0C0C0C" w:themeColor="text1" w:themeTint="F2"/>
          <w:spacing w:val="2"/>
          <w:szCs w:val="21"/>
        </w:rPr>
      </w:pP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color w:val="0C0C0C" w:themeColor="text1" w:themeTint="F2"/>
          <w:spacing w:val="2"/>
          <w:szCs w:val="21"/>
          <w:lang w:eastAsia="zh-CN"/>
        </w:rPr>
        <w:t>人民币12万元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lang w:eastAsia="zh-CN"/>
        </w:rPr>
        <w:t>二、</w:t>
      </w:r>
      <w:r>
        <w:rPr>
          <w:rFonts w:hint="eastAsia" w:ascii="宋体" w:hAnsi="宋体" w:cs="宋体"/>
          <w:b/>
          <w:bCs/>
          <w:szCs w:val="21"/>
        </w:rPr>
        <w:t>采购</w:t>
      </w:r>
      <w:r>
        <w:rPr>
          <w:rFonts w:ascii="宋体" w:hAnsi="宋体" w:cs="宋体"/>
          <w:b/>
          <w:bCs/>
          <w:szCs w:val="21"/>
        </w:rPr>
        <w:t>清单及要求：</w:t>
      </w:r>
    </w:p>
    <w:p>
      <w:pPr>
        <w:spacing w:line="360" w:lineRule="exact"/>
        <w:ind w:firstLine="422" w:firstLineChars="200"/>
        <w:rPr>
          <w:rFonts w:ascii="宋体" w:hAnsi="宋体" w:cs="宋体"/>
          <w:b/>
          <w:szCs w:val="21"/>
        </w:rPr>
      </w:pPr>
      <w:r>
        <w:rPr>
          <w:rFonts w:hint="eastAsia" w:ascii="宋体" w:hAnsi="宋体"/>
          <w:b/>
          <w:szCs w:val="21"/>
        </w:rPr>
        <w:t>（一）</w:t>
      </w:r>
      <w:r>
        <w:rPr>
          <w:rFonts w:hint="eastAsia" w:ascii="宋体" w:hAnsi="宋体" w:cs="宋体"/>
          <w:b/>
          <w:szCs w:val="21"/>
        </w:rPr>
        <w:t>采购清单</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1252"/>
        <w:gridCol w:w="3689"/>
        <w:gridCol w:w="490"/>
        <w:gridCol w:w="534"/>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427" w:type="dxa"/>
            <w:vAlign w:val="center"/>
          </w:tcPr>
          <w:p>
            <w:pPr>
              <w:spacing w:line="360" w:lineRule="exact"/>
              <w:jc w:val="center"/>
              <w:rPr>
                <w:rFonts w:ascii="宋体" w:hAnsi="宋体" w:cs="宋体"/>
                <w:b/>
                <w:szCs w:val="21"/>
              </w:rPr>
            </w:pPr>
            <w:r>
              <w:rPr>
                <w:rFonts w:hint="eastAsia" w:ascii="宋体" w:hAnsi="宋体" w:cs="宋体"/>
                <w:b/>
                <w:szCs w:val="21"/>
              </w:rPr>
              <w:t>序号</w:t>
            </w:r>
          </w:p>
        </w:tc>
        <w:tc>
          <w:tcPr>
            <w:tcW w:w="427" w:type="dxa"/>
            <w:vAlign w:val="center"/>
          </w:tcPr>
          <w:p>
            <w:pPr>
              <w:spacing w:line="360" w:lineRule="exact"/>
              <w:jc w:val="center"/>
              <w:rPr>
                <w:rFonts w:ascii="宋体" w:hAnsi="宋体" w:cs="宋体"/>
                <w:b/>
                <w:szCs w:val="21"/>
              </w:rPr>
            </w:pPr>
            <w:r>
              <w:rPr>
                <w:rFonts w:hint="eastAsia" w:ascii="宋体" w:hAnsi="宋体" w:cs="宋体"/>
                <w:b/>
                <w:szCs w:val="21"/>
              </w:rPr>
              <w:t>名称</w:t>
            </w:r>
          </w:p>
        </w:tc>
        <w:tc>
          <w:tcPr>
            <w:tcW w:w="1252" w:type="dxa"/>
            <w:vAlign w:val="center"/>
          </w:tcPr>
          <w:p>
            <w:pPr>
              <w:spacing w:line="360" w:lineRule="exact"/>
              <w:jc w:val="center"/>
              <w:rPr>
                <w:rFonts w:ascii="宋体" w:hAnsi="宋体" w:cs="宋体"/>
                <w:b/>
                <w:szCs w:val="21"/>
              </w:rPr>
            </w:pPr>
            <w:r>
              <w:rPr>
                <w:rFonts w:hint="eastAsia" w:ascii="宋体" w:hAnsi="宋体" w:cs="宋体"/>
                <w:b/>
                <w:szCs w:val="21"/>
              </w:rPr>
              <w:t>规格/品牌</w:t>
            </w:r>
          </w:p>
        </w:tc>
        <w:tc>
          <w:tcPr>
            <w:tcW w:w="3689" w:type="dxa"/>
            <w:vAlign w:val="center"/>
          </w:tcPr>
          <w:p>
            <w:pPr>
              <w:spacing w:line="360" w:lineRule="exact"/>
              <w:jc w:val="center"/>
              <w:rPr>
                <w:rFonts w:ascii="宋体" w:hAnsi="宋体" w:cs="宋体"/>
                <w:b/>
                <w:szCs w:val="21"/>
              </w:rPr>
            </w:pPr>
            <w:r>
              <w:rPr>
                <w:rFonts w:hint="eastAsia" w:ascii="宋体" w:hAnsi="宋体" w:cs="宋体"/>
                <w:b/>
                <w:szCs w:val="21"/>
              </w:rPr>
              <w:t>主要技术指标</w:t>
            </w:r>
          </w:p>
        </w:tc>
        <w:tc>
          <w:tcPr>
            <w:tcW w:w="490" w:type="dxa"/>
            <w:vAlign w:val="center"/>
          </w:tcPr>
          <w:p>
            <w:pPr>
              <w:spacing w:line="360" w:lineRule="exact"/>
              <w:jc w:val="center"/>
              <w:rPr>
                <w:rFonts w:ascii="宋体" w:hAnsi="宋体" w:cs="宋体"/>
                <w:b/>
                <w:szCs w:val="21"/>
              </w:rPr>
            </w:pPr>
            <w:r>
              <w:rPr>
                <w:rFonts w:hint="eastAsia" w:ascii="宋体" w:hAnsi="宋体" w:cs="宋体"/>
                <w:b/>
                <w:szCs w:val="21"/>
              </w:rPr>
              <w:t>单位</w:t>
            </w:r>
          </w:p>
        </w:tc>
        <w:tc>
          <w:tcPr>
            <w:tcW w:w="534" w:type="dxa"/>
            <w:vAlign w:val="center"/>
          </w:tcPr>
          <w:p>
            <w:pPr>
              <w:spacing w:line="360" w:lineRule="exact"/>
              <w:jc w:val="center"/>
              <w:rPr>
                <w:rFonts w:ascii="宋体" w:hAnsi="宋体" w:cs="宋体"/>
                <w:b/>
                <w:szCs w:val="21"/>
              </w:rPr>
            </w:pPr>
            <w:r>
              <w:rPr>
                <w:rFonts w:hint="eastAsia" w:ascii="宋体" w:hAnsi="宋体" w:cs="宋体"/>
                <w:b/>
                <w:szCs w:val="21"/>
              </w:rPr>
              <w:t>数量</w:t>
            </w:r>
          </w:p>
        </w:tc>
        <w:tc>
          <w:tcPr>
            <w:tcW w:w="1686" w:type="dxa"/>
            <w:vAlign w:val="center"/>
          </w:tcPr>
          <w:p>
            <w:pPr>
              <w:spacing w:line="360" w:lineRule="exact"/>
              <w:jc w:val="center"/>
              <w:rPr>
                <w:rFonts w:ascii="宋体" w:hAnsi="宋体" w:cs="宋体"/>
                <w:b/>
                <w:szCs w:val="21"/>
              </w:rPr>
            </w:pPr>
            <w:r>
              <w:rPr>
                <w:rFonts w:hint="eastAsia" w:ascii="宋体" w:hAnsi="宋体" w:cs="宋体"/>
                <w:b/>
                <w:szCs w:val="21"/>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spacing w:line="360" w:lineRule="exact"/>
              <w:jc w:val="center"/>
              <w:rPr>
                <w:rFonts w:ascii="宋体" w:hAnsi="宋体" w:cs="宋体"/>
                <w:b/>
                <w:szCs w:val="21"/>
              </w:rPr>
            </w:pPr>
            <w:r>
              <w:rPr>
                <w:rFonts w:hint="eastAsia" w:ascii="宋体" w:hAnsi="宋体" w:cs="宋体"/>
                <w:b/>
                <w:szCs w:val="21"/>
              </w:rPr>
              <w:t>1</w:t>
            </w:r>
          </w:p>
        </w:tc>
        <w:tc>
          <w:tcPr>
            <w:tcW w:w="427" w:type="dxa"/>
            <w:vAlign w:val="center"/>
          </w:tcPr>
          <w:p>
            <w:pPr>
              <w:spacing w:line="360" w:lineRule="exact"/>
              <w:jc w:val="center"/>
              <w:rPr>
                <w:rFonts w:ascii="宋体" w:hAnsi="宋体" w:cs="宋体"/>
                <w:b/>
                <w:bCs/>
                <w:szCs w:val="21"/>
              </w:rPr>
            </w:pPr>
            <w:r>
              <w:rPr>
                <w:rFonts w:hint="eastAsia" w:asciiTheme="minorEastAsia" w:hAnsiTheme="minorEastAsia" w:eastAsiaTheme="minorEastAsia" w:cstheme="minorEastAsia"/>
                <w:b/>
                <w:bCs/>
                <w:kern w:val="0"/>
                <w:szCs w:val="21"/>
              </w:rPr>
              <w:t>学生课桌</w:t>
            </w:r>
          </w:p>
        </w:tc>
        <w:tc>
          <w:tcPr>
            <w:tcW w:w="1252" w:type="dxa"/>
            <w:vAlign w:val="center"/>
          </w:tcPr>
          <w:p>
            <w:pPr>
              <w:widowControl/>
              <w:suppressAutoHyphens/>
              <w:spacing w:line="360" w:lineRule="atLeast"/>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kern w:val="0"/>
                <w:szCs w:val="21"/>
              </w:rPr>
              <w:t>6</w:t>
            </w:r>
            <w:r>
              <w:rPr>
                <w:rFonts w:hint="eastAsia" w:asciiTheme="minorEastAsia" w:hAnsiTheme="minorEastAsia" w:eastAsiaTheme="minorEastAsia" w:cstheme="minorEastAsia"/>
                <w:color w:val="000000"/>
                <w:kern w:val="0"/>
                <w:szCs w:val="21"/>
              </w:rPr>
              <w:t>00*400*</w:t>
            </w:r>
          </w:p>
          <w:p>
            <w:pPr>
              <w:widowControl/>
              <w:suppressAutoHyphens/>
              <w:spacing w:line="360" w:lineRule="atLeast"/>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640~750</w:t>
            </w:r>
          </w:p>
          <w:p>
            <w:pPr>
              <w:spacing w:line="360" w:lineRule="exact"/>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lang w:eastAsia="zh-CN"/>
              </w:rPr>
              <w:t>推荐</w:t>
            </w:r>
            <w:r>
              <w:rPr>
                <w:rFonts w:hint="eastAsia" w:asciiTheme="minorEastAsia" w:hAnsiTheme="minorEastAsia" w:eastAsiaTheme="minorEastAsia" w:cstheme="minorEastAsia"/>
                <w:b/>
                <w:bCs/>
                <w:color w:val="000000"/>
                <w:kern w:val="0"/>
                <w:szCs w:val="21"/>
              </w:rPr>
              <w:t>品牌：巨力</w:t>
            </w:r>
          </w:p>
          <w:p>
            <w:pPr>
              <w:spacing w:line="360" w:lineRule="exact"/>
              <w:jc w:val="center"/>
              <w:rPr>
                <w:rFonts w:hint="eastAsia"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凤凰梧桐</w:t>
            </w:r>
          </w:p>
          <w:p>
            <w:pPr>
              <w:spacing w:line="360" w:lineRule="exact"/>
              <w:jc w:val="center"/>
              <w:rPr>
                <w:rFonts w:ascii="宋体" w:hAnsi="宋体" w:cs="宋体"/>
                <w:b/>
                <w:szCs w:val="21"/>
              </w:rPr>
            </w:pPr>
            <w:r>
              <w:rPr>
                <w:rFonts w:hint="eastAsia" w:asciiTheme="minorEastAsia" w:hAnsiTheme="minorEastAsia" w:eastAsiaTheme="minorEastAsia" w:cstheme="minorEastAsia"/>
                <w:b/>
                <w:bCs/>
                <w:color w:val="000000"/>
                <w:kern w:val="0"/>
                <w:szCs w:val="21"/>
              </w:rPr>
              <w:t>大风车</w:t>
            </w:r>
          </w:p>
        </w:tc>
        <w:tc>
          <w:tcPr>
            <w:tcW w:w="3689" w:type="dxa"/>
            <w:vAlign w:val="center"/>
          </w:tcPr>
          <w:p>
            <w:pPr>
              <w:spacing w:line="360" w:lineRule="exact"/>
              <w:rPr>
                <w:rFonts w:ascii="宋体" w:hAnsi="宋体" w:cs="宋体"/>
                <w:b/>
                <w:szCs w:val="21"/>
              </w:rPr>
            </w:pPr>
            <w:r>
              <w:rPr>
                <w:rFonts w:hint="eastAsia" w:ascii="宋体" w:hAnsi="宋体" w:cs="宋体"/>
                <w:szCs w:val="21"/>
              </w:rPr>
              <w:t>课桌高度：640~750 课桌面板：（1）材质：采用符合国家标准的ABS新料一体射出成型，面板尺寸：600*400mm；（2）功能：靠胸前处有一內弧造型设计；面板上有一笔槽设计，长490mm；面板左右有防滑凸条，长390*高5mm；（3）附加功能：面板底部有強化承重设计，镶入一口字型方管，并与面板底部平齐，尺寸为长510*宽185mm。课桌书箱：（1）材质：采用符合国家标准的PP新料一体射出成型，尺寸：510*340*150mm；（2）功能：书箱底部有排水槽缝，槽缝数量≥28条，每条槽缝长40mm；（3）书箱向后并有2度的倾斜设计。 课桌主体钢架：（1）材质及形状：钢管尺寸：30*60*1.2mm、20*40*1.2mm，采用CO2满焊焊接而成。（2）表面涂装：钢管架焊接完成后，采用优质品牌烤漆粉，经高温粉体烤漆，耐刮耐磨；（3）功能：左右脚架各装一组高低调节钮，可调节课桌高度。 课桌脚垫：（1）材质：采用纤维质塑胶一体射出成型，并配有2支高低水平调整螺丝，当地面不平时可用一元硬币随意调整；尺寸：54*38*厚8mm。课桌样品检测报告技术要求：对角线面板邻边垂直度≤2.0mm。对边面板邻边垂直度≤2.0mm。面板翘曲度≤2mm。面板平整度≤0.2mm。底脚与水平面的差值≤2.0mm。涂层光滑均匀，色泽一致，无挂流、疙瘩、皱皮、飞漆等缺陷。焊缝均匀，无毛刺、锐棱、飞溅、裂纹等缺陷。塑料件表面光洁，无裂纹、皱褶、污渍、明显色差。涂层件应无漏漆、锈蚀。焊接部位应牢固，无脱焊、虚焊、焊穿。所有零部件无破损。金属件无端部未封口的管件，闷盖不易脱落。与人体接触部位、存放物品部位不应有毛刺、刃角、锐棱、透钉及其他尖锐物。升降、调节机构应设有锁定装置或限位装置，该装置应灵活、可靠、安全。某些可能造成伤害的部件，应不可能被接触到，除非使用专门的拆卸工具，课桌应不可能被随意拆卸，除非使用专门的拆卸工具。加力1000N10次，冲击高度180mm2次，跌落高度300mm10次，均应符合以下要求：课桌无断裂或豁裂，各部件无永久性松动，零部件无严重影响使用功能的磨损或变形，五金连接件无松动，活动部件开关灵便。</w:t>
            </w:r>
          </w:p>
        </w:tc>
        <w:tc>
          <w:tcPr>
            <w:tcW w:w="490" w:type="dxa"/>
            <w:vMerge w:val="restart"/>
            <w:vAlign w:val="center"/>
          </w:tcPr>
          <w:p>
            <w:pPr>
              <w:spacing w:line="360" w:lineRule="exact"/>
              <w:jc w:val="center"/>
              <w:rPr>
                <w:rFonts w:ascii="宋体" w:hAnsi="宋体" w:cs="宋体"/>
                <w:b/>
                <w:szCs w:val="21"/>
              </w:rPr>
            </w:pPr>
            <w:r>
              <w:rPr>
                <w:rFonts w:hint="eastAsia" w:ascii="宋体" w:hAnsi="宋体" w:cs="宋体"/>
                <w:b/>
                <w:szCs w:val="21"/>
              </w:rPr>
              <w:t>套</w:t>
            </w:r>
          </w:p>
        </w:tc>
        <w:tc>
          <w:tcPr>
            <w:tcW w:w="534" w:type="dxa"/>
            <w:vMerge w:val="restart"/>
            <w:vAlign w:val="center"/>
          </w:tcPr>
          <w:p>
            <w:pPr>
              <w:spacing w:line="360" w:lineRule="exact"/>
              <w:jc w:val="center"/>
              <w:rPr>
                <w:rFonts w:ascii="宋体" w:hAnsi="宋体" w:cs="宋体"/>
                <w:b/>
                <w:szCs w:val="21"/>
              </w:rPr>
            </w:pPr>
            <w:r>
              <w:rPr>
                <w:rFonts w:hint="eastAsia" w:ascii="宋体" w:hAnsi="宋体" w:cs="宋体"/>
                <w:b/>
                <w:szCs w:val="21"/>
              </w:rPr>
              <w:t>2</w:t>
            </w:r>
            <w:r>
              <w:rPr>
                <w:rFonts w:ascii="宋体" w:hAnsi="宋体" w:cs="宋体"/>
                <w:b/>
                <w:szCs w:val="21"/>
              </w:rPr>
              <w:t>50</w:t>
            </w:r>
          </w:p>
        </w:tc>
        <w:tc>
          <w:tcPr>
            <w:tcW w:w="1686" w:type="dxa"/>
            <w:vMerge w:val="restart"/>
            <w:vAlign w:val="center"/>
          </w:tcPr>
          <w:p>
            <w:pPr>
              <w:spacing w:line="360" w:lineRule="exact"/>
              <w:jc w:val="center"/>
              <w:rPr>
                <w:rFonts w:ascii="宋体" w:hAnsi="宋体" w:cs="宋体"/>
                <w:b/>
                <w:szCs w:val="21"/>
              </w:rPr>
            </w:pPr>
            <w:r>
              <w:rPr>
                <w:rFonts w:hint="eastAsia" w:asciiTheme="minorEastAsia" w:hAnsiTheme="minorEastAsia" w:eastAsiaTheme="minorEastAsia" w:cstheme="minorEastAsia"/>
                <w:color w:val="000000"/>
                <w:kern w:val="0"/>
                <w:sz w:val="21"/>
                <w:szCs w:val="21"/>
              </w:rPr>
              <w:drawing>
                <wp:anchor distT="0" distB="0" distL="114300" distR="114300" simplePos="0" relativeHeight="251683840" behindDoc="0" locked="0" layoutInCell="1" allowOverlap="1">
                  <wp:simplePos x="0" y="0"/>
                  <wp:positionH relativeFrom="column">
                    <wp:posOffset>0</wp:posOffset>
                  </wp:positionH>
                  <wp:positionV relativeFrom="paragraph">
                    <wp:posOffset>2716530</wp:posOffset>
                  </wp:positionV>
                  <wp:extent cx="925830" cy="883920"/>
                  <wp:effectExtent l="0" t="0" r="7620" b="11430"/>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stretch>
                            <a:fillRect/>
                          </a:stretch>
                        </pic:blipFill>
                        <pic:spPr>
                          <a:xfrm>
                            <a:off x="0" y="0"/>
                            <a:ext cx="925830" cy="8839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spacing w:line="360" w:lineRule="exact"/>
              <w:jc w:val="center"/>
              <w:rPr>
                <w:rFonts w:ascii="宋体" w:hAnsi="宋体" w:cs="宋体"/>
                <w:b/>
                <w:szCs w:val="21"/>
              </w:rPr>
            </w:pPr>
            <w:r>
              <w:rPr>
                <w:rFonts w:hint="eastAsia" w:ascii="宋体" w:hAnsi="宋体" w:cs="宋体"/>
                <w:b/>
                <w:szCs w:val="21"/>
              </w:rPr>
              <w:t>2</w:t>
            </w:r>
          </w:p>
        </w:tc>
        <w:tc>
          <w:tcPr>
            <w:tcW w:w="427" w:type="dxa"/>
            <w:vAlign w:val="center"/>
          </w:tcPr>
          <w:p>
            <w:pPr>
              <w:spacing w:line="360" w:lineRule="exact"/>
              <w:jc w:val="center"/>
              <w:rPr>
                <w:rFonts w:ascii="宋体" w:hAnsi="宋体" w:cs="宋体"/>
                <w:b/>
                <w:bCs/>
                <w:szCs w:val="21"/>
              </w:rPr>
            </w:pPr>
            <w:r>
              <w:rPr>
                <w:rFonts w:hint="eastAsia" w:asciiTheme="minorEastAsia" w:hAnsiTheme="minorEastAsia" w:eastAsiaTheme="minorEastAsia" w:cstheme="minorEastAsia"/>
                <w:b/>
                <w:bCs/>
                <w:kern w:val="0"/>
                <w:szCs w:val="21"/>
              </w:rPr>
              <w:t>学生坐椅</w:t>
            </w:r>
          </w:p>
        </w:tc>
        <w:tc>
          <w:tcPr>
            <w:tcW w:w="1252" w:type="dxa"/>
            <w:vAlign w:val="center"/>
          </w:tcPr>
          <w:p>
            <w:pPr>
              <w:spacing w:line="360" w:lineRule="exact"/>
              <w:ind w:left="-105" w:leftChars="-50" w:right="-105" w:rightChars="-5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440x385x</w:t>
            </w:r>
          </w:p>
          <w:p>
            <w:pPr>
              <w:spacing w:line="360" w:lineRule="exact"/>
              <w:ind w:left="-105" w:leftChars="-50" w:right="-105" w:rightChars="-5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(370-410)</w:t>
            </w:r>
          </w:p>
          <w:p>
            <w:pPr>
              <w:spacing w:line="360" w:lineRule="exact"/>
              <w:ind w:left="-105" w:leftChars="-50" w:right="-105" w:rightChars="-5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(坐凳高度）</w:t>
            </w:r>
          </w:p>
          <w:p>
            <w:pPr>
              <w:spacing w:line="360" w:lineRule="exact"/>
              <w:ind w:left="-105" w:leftChars="-50" w:right="-105" w:rightChars="-5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（颜色可选）</w:t>
            </w:r>
          </w:p>
          <w:p>
            <w:pPr>
              <w:spacing w:line="360" w:lineRule="exact"/>
              <w:ind w:left="-105" w:leftChars="-50" w:right="-105" w:rightChars="-5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品牌：巨力</w:t>
            </w:r>
          </w:p>
        </w:tc>
        <w:tc>
          <w:tcPr>
            <w:tcW w:w="3689" w:type="dxa"/>
          </w:tcPr>
          <w:p>
            <w:pPr>
              <w:rPr>
                <w:rFonts w:ascii="宋体" w:hAnsi="宋体" w:cs="宋体"/>
                <w:szCs w:val="21"/>
              </w:rPr>
            </w:pPr>
            <w:r>
              <w:rPr>
                <w:rFonts w:hint="eastAsia" w:ascii="宋体" w:hAnsi="宋体" w:cs="宋体"/>
                <w:szCs w:val="21"/>
              </w:rPr>
              <w:t>课椅：宽420*深380；座高360～450。课椅靠背：（1）材质：采用符合国家标准的PP新料一体射出成型，尺寸：430*370mm；（2）功能：靠背具有透气作用符合国际安全标准。课椅坐垫：（1）材质：采用符合国家标准的PP新料一体射出成型，尺寸：420mm*380mm；（2）功能：具有透气作用，符合国际安全标准。课椅钢结构：（1）材质及形状：钢管尺寸：30*60*1.2mm、16.5*34*厚1.5mm，采用满焊焊接而成；（2）表面涂装：钢管架焊接完成后，采用优质品牌烤漆粉，经高温粉体烤漆，耐刮耐磨；（3）功能：左右脚架各裝一组高低调节旋钮，可调节椅高及座高。课椅脚垫：（1）材质：采用纤维质塑胶一体射出成型，并配有2支高低水平调整螺丝，当地面不平时可用一元硬币随意调整；（2）尺寸：54*38*厚8mm；以上尺寸允许误差±5mm，</w:t>
            </w:r>
          </w:p>
          <w:p>
            <w:pPr>
              <w:rPr>
                <w:rFonts w:ascii="宋体" w:hAnsi="宋体" w:cs="宋体"/>
                <w:szCs w:val="21"/>
              </w:rPr>
            </w:pPr>
            <w:r>
              <w:rPr>
                <w:rFonts w:hint="eastAsia" w:ascii="宋体" w:hAnsi="宋体" w:cs="宋体"/>
                <w:szCs w:val="21"/>
              </w:rPr>
              <w:t>塑胶平口篮要求：1.材质：采用PP耐冲击塑料一体射出而成。2.尺寸：305mm×404mm×92mm±5mm3.底部有48孔洞造型设计</w:t>
            </w:r>
          </w:p>
          <w:p>
            <w:pPr>
              <w:spacing w:line="360" w:lineRule="exact"/>
              <w:rPr>
                <w:rFonts w:ascii="宋体" w:hAnsi="宋体" w:cs="宋体"/>
                <w:b/>
                <w:szCs w:val="21"/>
              </w:rPr>
            </w:pPr>
            <w:r>
              <w:rPr>
                <w:rFonts w:hint="eastAsia" w:ascii="宋体" w:hAnsi="宋体" w:cs="宋体"/>
                <w:szCs w:val="21"/>
              </w:rPr>
              <w:t>课椅样品检测报告技术要求：底脚与水平面的差值≤2.0。涂层光滑均匀，色泽一致，无挂流、疙瘩、皱皮、飞漆等缺陷。焊缝均匀，无毛刺、锐棱、飞溅、裂纹等缺陷。塑料件表面光洁，无裂纹、皱褶、污渍、明显色差。涂层件应无漏漆、锈蚀。焊接部位应牢固，无脱焊、虚焊、焊穿。所有零部件无破损。金属件无端部未封口的管件，闷盖不易脱落。与人体接触部位、存放物品部位不应有毛刺、刃角、锐棱、透钉及其他尖锐物。升降、调节机构设有锁定装置或限位装置，该装置应灵活、安全、可靠。座面、椅背联合静载荷（座面1600N10次，椅背760N10次），椅腿向前静载荷（座面1250N10次，椅腿620N10次），椅腿侧向静载荷（座面1250N10次，椅腿490N10次），均应符合以下要求：课椅零部件无断裂或豁裂，座椅机构无永久性松动，无严重影响使用功能的磨损或变形，五金连接件无松动，活动部件开关灵便。</w:t>
            </w:r>
          </w:p>
        </w:tc>
        <w:tc>
          <w:tcPr>
            <w:tcW w:w="490" w:type="dxa"/>
            <w:vMerge w:val="continue"/>
          </w:tcPr>
          <w:p>
            <w:pPr>
              <w:spacing w:line="360" w:lineRule="exact"/>
              <w:rPr>
                <w:rFonts w:ascii="宋体" w:hAnsi="宋体" w:cs="宋体"/>
                <w:b/>
                <w:szCs w:val="21"/>
              </w:rPr>
            </w:pPr>
          </w:p>
        </w:tc>
        <w:tc>
          <w:tcPr>
            <w:tcW w:w="534" w:type="dxa"/>
            <w:vMerge w:val="continue"/>
          </w:tcPr>
          <w:p>
            <w:pPr>
              <w:spacing w:line="360" w:lineRule="exact"/>
              <w:rPr>
                <w:rFonts w:ascii="宋体" w:hAnsi="宋体" w:cs="宋体"/>
                <w:b/>
                <w:szCs w:val="21"/>
              </w:rPr>
            </w:pPr>
          </w:p>
        </w:tc>
        <w:tc>
          <w:tcPr>
            <w:tcW w:w="1686" w:type="dxa"/>
            <w:vMerge w:val="continue"/>
          </w:tcPr>
          <w:p>
            <w:pPr>
              <w:spacing w:line="360" w:lineRule="exact"/>
              <w:rPr>
                <w:rFonts w:ascii="宋体" w:hAnsi="宋体" w:cs="宋体"/>
                <w:b/>
                <w:szCs w:val="21"/>
              </w:rPr>
            </w:pPr>
          </w:p>
        </w:tc>
      </w:tr>
    </w:tbl>
    <w:p>
      <w:pPr>
        <w:spacing w:line="360" w:lineRule="exact"/>
        <w:ind w:firstLine="422" w:firstLineChars="200"/>
        <w:rPr>
          <w:rFonts w:ascii="宋体" w:hAnsi="宋体" w:cs="宋体"/>
          <w:b/>
          <w:szCs w:val="21"/>
        </w:rPr>
      </w:pPr>
      <w:r>
        <w:rPr>
          <w:rFonts w:hint="eastAsia" w:ascii="宋体" w:hAnsi="宋体"/>
          <w:b/>
          <w:szCs w:val="21"/>
        </w:rPr>
        <w:t>（二）基本</w:t>
      </w:r>
      <w:r>
        <w:rPr>
          <w:rFonts w:hint="eastAsia" w:ascii="宋体" w:hAnsi="宋体" w:cs="宋体"/>
          <w:b/>
          <w:szCs w:val="21"/>
        </w:rPr>
        <w:t>要求</w:t>
      </w:r>
    </w:p>
    <w:p>
      <w:pPr>
        <w:spacing w:line="360" w:lineRule="exact"/>
        <w:ind w:firstLine="420" w:firstLineChars="200"/>
        <w:rPr>
          <w:rFonts w:ascii="宋体" w:cs="宋体"/>
          <w:color w:val="000000"/>
          <w:szCs w:val="21"/>
        </w:rPr>
      </w:pPr>
      <w:r>
        <w:rPr>
          <w:rFonts w:hint="eastAsia" w:ascii="宋体" w:cs="宋体"/>
          <w:color w:val="000000"/>
          <w:szCs w:val="21"/>
        </w:rPr>
        <w:t>1、产品必须是全新、未使用过的原装合格正品，完全符合采购文件规定的质量、规格、颜色和性能的要求，达到国家或行业规定的标准，实行生产许可证制度的，应提供生产许可证；属于国家强制认证的产品，必须通过认证。</w:t>
      </w:r>
    </w:p>
    <w:p>
      <w:pPr>
        <w:spacing w:line="360" w:lineRule="exact"/>
        <w:ind w:firstLine="420" w:firstLineChars="200"/>
        <w:rPr>
          <w:rFonts w:ascii="宋体" w:hAnsi="宋体"/>
        </w:rPr>
      </w:pPr>
      <w:r>
        <w:rPr>
          <w:rFonts w:ascii="宋体" w:hAnsi="宋体"/>
        </w:rPr>
        <w:t>2</w:t>
      </w:r>
      <w:r>
        <w:rPr>
          <w:rFonts w:hint="eastAsia" w:ascii="宋体" w:hAnsi="宋体"/>
        </w:rPr>
        <w:t>.</w:t>
      </w:r>
      <w:r>
        <w:rPr>
          <w:rFonts w:hint="eastAsia" w:ascii="宋体" w:cs="宋体"/>
          <w:color w:val="000000"/>
          <w:szCs w:val="21"/>
        </w:rPr>
        <w:t>供应商提供的产品必须能够满足规范及询价通知书的要求，</w:t>
      </w:r>
      <w:r>
        <w:rPr>
          <w:rFonts w:hint="eastAsia" w:ascii="宋体" w:cs="宋体"/>
          <w:bCs/>
          <w:color w:val="000000"/>
          <w:szCs w:val="21"/>
        </w:rPr>
        <w:t>同时还必须满足使用要求。</w:t>
      </w:r>
      <w:r>
        <w:rPr>
          <w:rFonts w:hint="eastAsia" w:ascii="宋体" w:hAnsi="宋体"/>
          <w:szCs w:val="21"/>
        </w:rPr>
        <w:t>成交供应商供货前，采购人有权要求成交供应商对产品样式、规格、数量、型号等进行调整，最终的产品须经采购人同意后再行生产、供货。</w:t>
      </w:r>
    </w:p>
    <w:p>
      <w:pPr>
        <w:spacing w:line="360" w:lineRule="exact"/>
        <w:ind w:right="210" w:firstLine="422" w:firstLineChars="200"/>
        <w:jc w:val="left"/>
        <w:rPr>
          <w:rFonts w:ascii="宋体" w:hAnsi="宋体" w:cs="宋体"/>
          <w:b/>
          <w:szCs w:val="21"/>
        </w:rPr>
      </w:pPr>
      <w:r>
        <w:rPr>
          <w:rFonts w:hint="eastAsia" w:ascii="宋体" w:hAnsi="宋体" w:cs="宋体"/>
          <w:b/>
          <w:szCs w:val="21"/>
        </w:rPr>
        <w:t>四</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本项目谈判报价为</w:t>
      </w:r>
      <w:r>
        <w:rPr>
          <w:rFonts w:hint="eastAsia" w:ascii="宋体" w:hAnsi="宋体" w:cs="宋体"/>
          <w:b/>
          <w:bCs/>
          <w:color w:val="0C0C0C" w:themeColor="text1" w:themeTint="F2"/>
          <w:szCs w:val="21"/>
          <w:u w:val="single"/>
        </w:rPr>
        <w:t>固定单价</w:t>
      </w:r>
      <w:r>
        <w:rPr>
          <w:rFonts w:hint="eastAsia" w:ascii="宋体" w:hAnsi="宋体" w:cs="宋体"/>
          <w:color w:val="0C0C0C" w:themeColor="text1" w:themeTint="F2"/>
          <w:szCs w:val="21"/>
        </w:rPr>
        <w:t>，</w:t>
      </w:r>
      <w:r>
        <w:rPr>
          <w:rFonts w:hint="eastAsia" w:ascii="宋体" w:hAnsi="宋体" w:cs="宋体"/>
          <w:color w:val="000000"/>
          <w:szCs w:val="21"/>
        </w:rPr>
        <w:t>谈判总价应包括竞争性谈判文件所确定的采购范围相应货物和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2" w:firstLineChars="200"/>
        <w:rPr>
          <w:rFonts w:ascii="宋体" w:hAnsi="宋体"/>
          <w:b/>
          <w:bCs/>
          <w:szCs w:val="21"/>
        </w:rPr>
      </w:pPr>
      <w:r>
        <w:rPr>
          <w:rFonts w:hint="eastAsia" w:ascii="宋体" w:hAnsi="宋体" w:cs="宋体"/>
          <w:b/>
          <w:bCs/>
          <w:color w:val="000000"/>
          <w:szCs w:val="21"/>
        </w:rPr>
        <w:t>报价货币为人民币，评审时以人民币为准。</w:t>
      </w:r>
    </w:p>
    <w:p>
      <w:pPr>
        <w:spacing w:line="360" w:lineRule="exact"/>
        <w:ind w:firstLine="422" w:firstLineChars="200"/>
        <w:rPr>
          <w:rFonts w:ascii="宋体" w:hAnsi="宋体"/>
          <w:b/>
          <w:szCs w:val="21"/>
        </w:rPr>
      </w:pPr>
      <w:r>
        <w:rPr>
          <w:rFonts w:hint="eastAsia" w:ascii="宋体" w:hAnsi="宋体"/>
          <w:b/>
          <w:szCs w:val="21"/>
        </w:rPr>
        <w:t>五、交货、</w:t>
      </w:r>
      <w:r>
        <w:rPr>
          <w:rFonts w:ascii="宋体" w:hAnsi="宋体"/>
          <w:b/>
          <w:szCs w:val="21"/>
        </w:rPr>
        <w:t>验收</w:t>
      </w:r>
    </w:p>
    <w:p>
      <w:pPr>
        <w:spacing w:line="360" w:lineRule="exact"/>
        <w:ind w:firstLine="420" w:firstLineChars="200"/>
        <w:rPr>
          <w:rFonts w:ascii="宋体"/>
          <w:bCs/>
          <w:szCs w:val="21"/>
        </w:rPr>
      </w:pPr>
      <w:r>
        <w:rPr>
          <w:rFonts w:hint="eastAsia" w:ascii="宋体" w:hAnsi="宋体" w:cs="宋体"/>
          <w:szCs w:val="21"/>
        </w:rPr>
        <w:t>1、交货</w:t>
      </w:r>
      <w:r>
        <w:rPr>
          <w:rFonts w:ascii="宋体" w:hAnsi="宋体" w:cs="宋体"/>
          <w:szCs w:val="21"/>
        </w:rPr>
        <w:t>日期</w:t>
      </w:r>
      <w:r>
        <w:rPr>
          <w:rFonts w:hint="eastAsia" w:ascii="宋体" w:hAnsi="宋体" w:cs="宋体"/>
          <w:szCs w:val="21"/>
        </w:rPr>
        <w:t>：</w:t>
      </w:r>
      <w:r>
        <w:rPr>
          <w:rFonts w:hint="eastAsia" w:ascii="宋体" w:hAnsi="宋体"/>
          <w:szCs w:val="21"/>
        </w:rPr>
        <w:t>自合同签订并经采购人书面通知后</w:t>
      </w:r>
      <w:r>
        <w:rPr>
          <w:rFonts w:hint="eastAsia" w:ascii="宋体" w:hAnsi="宋体"/>
          <w:b/>
          <w:bCs/>
          <w:szCs w:val="21"/>
          <w:u w:val="single"/>
        </w:rPr>
        <w:t>15</w:t>
      </w:r>
      <w:r>
        <w:rPr>
          <w:rFonts w:hint="eastAsia" w:ascii="宋体" w:hAnsi="宋体"/>
          <w:b/>
          <w:bCs/>
          <w:szCs w:val="21"/>
        </w:rPr>
        <w:t>个日历天</w:t>
      </w:r>
      <w:r>
        <w:rPr>
          <w:rFonts w:hint="eastAsia" w:ascii="宋体" w:hAnsi="宋体"/>
          <w:szCs w:val="21"/>
        </w:rPr>
        <w:t>内所有货物送至指定地点并安装调试完毕。如未达到采购人的验收要求或不能如期供货，采购单位有权终止合同，成交单位须承担由此对采购方造成的损失</w:t>
      </w:r>
      <w:r>
        <w:rPr>
          <w:rFonts w:ascii="宋体" w:hAnsi="宋体"/>
          <w:kern w:val="0"/>
          <w:szCs w:val="21"/>
        </w:rPr>
        <w:t>。</w:t>
      </w:r>
    </w:p>
    <w:p>
      <w:pPr>
        <w:spacing w:line="360" w:lineRule="exact"/>
        <w:ind w:firstLine="420" w:firstLineChars="200"/>
        <w:rPr>
          <w:rFonts w:hint="eastAsia" w:ascii="宋体" w:hAnsi="宋体" w:eastAsia="宋体" w:cs="宋体"/>
          <w:szCs w:val="21"/>
          <w:lang w:eastAsia="zh-CN"/>
        </w:rPr>
      </w:pPr>
      <w:r>
        <w:rPr>
          <w:rFonts w:hint="eastAsia" w:ascii="宋体" w:hAnsi="宋体" w:cs="宋体"/>
          <w:szCs w:val="21"/>
        </w:rPr>
        <w:t>2、交货地点：</w:t>
      </w:r>
      <w:r>
        <w:rPr>
          <w:rFonts w:hint="eastAsia" w:ascii="宋体" w:hAnsi="宋体" w:cs="宋体"/>
          <w:kern w:val="0"/>
          <w:szCs w:val="21"/>
        </w:rPr>
        <w:t>采购人指定地点</w:t>
      </w:r>
      <w:r>
        <w:rPr>
          <w:rFonts w:hint="eastAsia" w:ascii="宋体" w:hAnsi="宋体" w:cs="宋体"/>
          <w:kern w:val="0"/>
          <w:szCs w:val="21"/>
          <w:lang w:eastAsia="zh-CN"/>
        </w:rPr>
        <w:t>，交货时同时提供课桌样品检测报告。</w:t>
      </w:r>
      <w:bookmarkStart w:id="11" w:name="_GoBack"/>
      <w:bookmarkEnd w:id="11"/>
    </w:p>
    <w:p>
      <w:pPr>
        <w:spacing w:line="360" w:lineRule="exact"/>
        <w:ind w:firstLine="422" w:firstLineChars="200"/>
        <w:rPr>
          <w:rFonts w:ascii="宋体" w:hAnsi="宋体"/>
          <w:b/>
          <w:szCs w:val="21"/>
        </w:rPr>
      </w:pPr>
      <w:r>
        <w:rPr>
          <w:rFonts w:hint="eastAsia" w:ascii="宋体" w:hAnsi="宋体"/>
          <w:b/>
          <w:szCs w:val="21"/>
        </w:rPr>
        <w:t>六、付款方式</w:t>
      </w:r>
    </w:p>
    <w:p>
      <w:pPr>
        <w:spacing w:line="360" w:lineRule="exact"/>
        <w:ind w:firstLine="422" w:firstLineChars="200"/>
        <w:rPr>
          <w:rFonts w:hint="eastAsia" w:cs="仿宋_GB2312" w:asciiTheme="minorEastAsia" w:hAnsiTheme="minorEastAsia" w:eastAsiaTheme="minorEastAsia"/>
          <w:b/>
          <w:szCs w:val="21"/>
        </w:rPr>
      </w:pPr>
      <w:r>
        <w:rPr>
          <w:rFonts w:hint="eastAsia" w:cs="仿宋_GB2312" w:asciiTheme="minorEastAsia" w:hAnsiTheme="minorEastAsia" w:eastAsiaTheme="minorEastAsia"/>
          <w:b/>
          <w:szCs w:val="21"/>
        </w:rPr>
        <w:t>经采购人验收合格后一次性付清</w:t>
      </w:r>
    </w:p>
    <w:p>
      <w:pPr>
        <w:spacing w:line="360" w:lineRule="exact"/>
        <w:ind w:firstLine="422" w:firstLineChars="200"/>
        <w:rPr>
          <w:rFonts w:ascii="宋体" w:hAnsi="宋体"/>
          <w:b/>
          <w:szCs w:val="21"/>
        </w:rPr>
      </w:pPr>
      <w:r>
        <w:rPr>
          <w:rFonts w:hint="eastAsia" w:ascii="宋体" w:hAnsi="宋体"/>
          <w:b/>
          <w:szCs w:val="21"/>
        </w:rPr>
        <w:t>七、质保及售后</w:t>
      </w:r>
    </w:p>
    <w:p>
      <w:pPr>
        <w:spacing w:line="360" w:lineRule="exact"/>
        <w:ind w:firstLine="422" w:firstLineChars="200"/>
        <w:rPr>
          <w:rFonts w:ascii="宋体" w:hAnsi="宋体" w:cs="宋体"/>
          <w:b/>
          <w:color w:val="000000"/>
          <w:szCs w:val="21"/>
        </w:rPr>
      </w:pPr>
      <w:r>
        <w:rPr>
          <w:rFonts w:hint="eastAsia" w:ascii="宋体" w:hAnsi="宋体" w:cs="宋体"/>
          <w:b/>
          <w:color w:val="000000"/>
          <w:szCs w:val="21"/>
        </w:rPr>
        <w:t>产品免费质量保修、免费维保期：至少</w:t>
      </w:r>
      <w:r>
        <w:rPr>
          <w:rFonts w:hint="eastAsia" w:ascii="宋体" w:hAnsi="宋体" w:cs="宋体"/>
          <w:b/>
          <w:color w:val="000000"/>
          <w:szCs w:val="21"/>
          <w:u w:val="single"/>
        </w:rPr>
        <w:t>10</w:t>
      </w:r>
      <w:r>
        <w:rPr>
          <w:rFonts w:hint="eastAsia" w:ascii="宋体" w:hAnsi="宋体" w:cs="宋体"/>
          <w:b/>
          <w:color w:val="000000"/>
          <w:szCs w:val="21"/>
        </w:rPr>
        <w:t>年，</w:t>
      </w:r>
      <w:r>
        <w:rPr>
          <w:rFonts w:hint="eastAsia" w:ascii="宋体" w:hAnsi="宋体"/>
          <w:b/>
          <w:szCs w:val="21"/>
        </w:rPr>
        <w:t>从安装摆放就位后验收合格之日起计算，质保期内提供免费维修、保养、非人为原因损坏更换服务</w:t>
      </w:r>
      <w:r>
        <w:rPr>
          <w:rFonts w:hint="eastAsia" w:ascii="宋体" w:hAnsi="宋体" w:cs="宋体"/>
          <w:b/>
          <w:color w:val="000000"/>
          <w:szCs w:val="21"/>
        </w:rPr>
        <w:t>。</w:t>
      </w:r>
    </w:p>
    <w:p>
      <w:pPr>
        <w:jc w:val="center"/>
        <w:rPr>
          <w:rFonts w:ascii="宋体" w:hAnsi="宋体" w:cs="宋体"/>
          <w:b/>
          <w:sz w:val="30"/>
          <w:szCs w:val="30"/>
        </w:rPr>
      </w:pPr>
      <w:r>
        <w:rPr>
          <w:rFonts w:ascii="宋体" w:hAnsi="宋体" w:cs="宋体"/>
          <w:b/>
          <w:sz w:val="30"/>
          <w:szCs w:val="30"/>
        </w:rPr>
        <w:br w:type="page"/>
      </w:r>
    </w:p>
    <w:p>
      <w:pPr>
        <w:pStyle w:val="2"/>
      </w:pPr>
      <w:bookmarkStart w:id="5" w:name="_Toc17536927"/>
      <w:r>
        <w:rPr>
          <w:rFonts w:hint="eastAsia"/>
        </w:rPr>
        <w:t>第三章  合同主要条款</w:t>
      </w:r>
      <w:bookmarkEnd w:id="5"/>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17" w:firstLineChars="2199"/>
        <w:rPr>
          <w:rFonts w:hAnsi="宋体" w:cs="宋体"/>
          <w:b/>
          <w:color w:val="000000"/>
          <w:sz w:val="21"/>
          <w:szCs w:val="21"/>
        </w:rPr>
      </w:pPr>
      <w:r>
        <w:rPr>
          <w:rFonts w:hint="eastAsia" w:cs="宋体"/>
          <w:color w:val="000000"/>
          <w:sz w:val="21"/>
          <w:szCs w:val="21"/>
        </w:rPr>
        <w:t>合同时间：</w:t>
      </w:r>
      <w:r>
        <w:rPr>
          <w:rFonts w:hint="eastAsia" w:cs="宋体"/>
          <w:color w:val="000000"/>
          <w:sz w:val="21"/>
          <w:szCs w:val="21"/>
          <w:u w:val="single"/>
        </w:rPr>
        <w:t xml:space="preserve">    </w:t>
      </w:r>
      <w:r>
        <w:rPr>
          <w:rFonts w:cs="宋体"/>
          <w:color w:val="000000"/>
          <w:sz w:val="21"/>
          <w:szCs w:val="21"/>
          <w:u w:val="single"/>
        </w:rPr>
        <w:t xml:space="preserve">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11"/>
        <w:spacing w:line="360" w:lineRule="exact"/>
        <w:ind w:firstLine="424" w:firstLineChars="202"/>
        <w:rPr>
          <w:rFonts w:cs="宋体" w:asciiTheme="minorEastAsia" w:hAnsiTheme="minorEastAsia"/>
          <w:color w:val="0C0C0C" w:themeColor="text1" w:themeTint="F2"/>
          <w:sz w:val="21"/>
          <w:szCs w:val="21"/>
        </w:rPr>
      </w:pPr>
      <w:r>
        <w:rPr>
          <w:rFonts w:hint="eastAsia" w:cs="宋体" w:asciiTheme="minorEastAsia" w:hAnsiTheme="minorEastAsia"/>
          <w:color w:val="0C0C0C" w:themeColor="text1" w:themeTint="F2"/>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1"/>
        <w:spacing w:line="360" w:lineRule="exact"/>
        <w:ind w:firstLine="424" w:firstLineChars="202"/>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1"/>
        <w:spacing w:line="360" w:lineRule="exact"/>
        <w:ind w:firstLine="424" w:firstLineChars="202"/>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adjustRightInd w:val="0"/>
        <w:snapToGrid w:val="0"/>
        <w:spacing w:line="360" w:lineRule="exact"/>
        <w:ind w:firstLine="426" w:firstLineChars="202"/>
        <w:rPr>
          <w:rFonts w:hint="eastAsia" w:asciiTheme="minorEastAsia" w:hAnsiTheme="minorEastAsia" w:eastAsiaTheme="minorEastAsia"/>
          <w:color w:val="0C0C0C" w:themeColor="text1" w:themeTint="F2"/>
          <w:szCs w:val="21"/>
          <w:lang w:eastAsia="zh-CN"/>
        </w:rPr>
      </w:pPr>
      <w:r>
        <w:rPr>
          <w:rFonts w:asciiTheme="minorEastAsia" w:hAnsiTheme="minorEastAsia" w:eastAsiaTheme="minorEastAsia"/>
          <w:b/>
          <w:bCs/>
          <w:color w:val="0C0C0C" w:themeColor="text1" w:themeTint="F2"/>
          <w:szCs w:val="21"/>
          <w:highlight w:val="none"/>
        </w:rPr>
        <w:t>5</w:t>
      </w:r>
      <w:r>
        <w:rPr>
          <w:rFonts w:hint="eastAsia" w:asciiTheme="minorEastAsia" w:hAnsiTheme="minorEastAsia" w:eastAsiaTheme="minorEastAsia"/>
          <w:b/>
          <w:bCs/>
          <w:color w:val="0C0C0C" w:themeColor="text1" w:themeTint="F2"/>
          <w:szCs w:val="21"/>
          <w:highlight w:val="none"/>
        </w:rPr>
        <w:t>.付款方式：</w:t>
      </w:r>
      <w:r>
        <w:rPr>
          <w:rFonts w:hint="eastAsia" w:cs="仿宋_GB2312" w:asciiTheme="minorEastAsia" w:hAnsiTheme="minorEastAsia" w:eastAsiaTheme="minorEastAsia"/>
          <w:b/>
          <w:bCs/>
          <w:szCs w:val="21"/>
          <w:highlight w:val="none"/>
        </w:rPr>
        <w:t>经</w:t>
      </w:r>
      <w:r>
        <w:rPr>
          <w:rFonts w:hint="eastAsia" w:cs="仿宋_GB2312" w:asciiTheme="minorEastAsia" w:hAnsiTheme="minorEastAsia" w:eastAsiaTheme="minorEastAsia"/>
          <w:b/>
          <w:bCs/>
          <w:szCs w:val="21"/>
          <w:highlight w:val="none"/>
          <w:lang w:eastAsia="zh-CN"/>
        </w:rPr>
        <w:t>甲方</w:t>
      </w:r>
      <w:r>
        <w:rPr>
          <w:rFonts w:hint="eastAsia" w:cs="仿宋_GB2312" w:asciiTheme="minorEastAsia" w:hAnsiTheme="minorEastAsia" w:eastAsiaTheme="minorEastAsia"/>
          <w:b/>
          <w:bCs/>
          <w:szCs w:val="21"/>
          <w:highlight w:val="none"/>
        </w:rPr>
        <w:t>验收合格后一次性付清</w:t>
      </w:r>
      <w:r>
        <w:rPr>
          <w:rFonts w:hint="eastAsia" w:cs="仿宋_GB2312" w:asciiTheme="minorEastAsia" w:hAnsiTheme="minorEastAsia" w:eastAsiaTheme="minorEastAsia"/>
          <w:b/>
          <w:bCs/>
          <w:szCs w:val="21"/>
          <w:highlight w:val="none"/>
          <w:lang w:eastAsia="zh-CN"/>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rPr>
          <w:rFonts w:hint="eastAsia" w:ascii="宋体" w:hAnsi="宋体" w:eastAsia="宋体" w:cs="宋体"/>
        </w:rPr>
      </w:pPr>
      <w:r>
        <w:rPr>
          <w:rFonts w:hint="eastAsia" w:ascii="宋体" w:hAnsi="宋体" w:eastAsia="宋体" w:cs="宋体"/>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宋体" w:hAnsi="宋体" w:eastAsia="宋体" w:cs="宋体"/>
        </w:rPr>
      </w:pPr>
      <w:r>
        <w:rPr>
          <w:rFonts w:hint="eastAsia" w:ascii="宋体" w:hAnsi="宋体" w:eastAsia="宋体" w:cs="宋体"/>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宋体" w:hAnsi="宋体" w:eastAsia="宋体" w:cs="宋体"/>
          <w:color w:val="0C0C0C" w:themeColor="text1" w:themeTint="F2"/>
        </w:rPr>
      </w:pPr>
      <w:r>
        <w:rPr>
          <w:rFonts w:hint="eastAsia" w:ascii="宋体" w:hAnsi="宋体" w:eastAsia="宋体" w:cs="宋体"/>
          <w:color w:val="0C0C0C" w:themeColor="text1" w:themeTint="F2"/>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宋体" w:hAnsi="宋体" w:eastAsia="宋体" w:cs="宋体"/>
        </w:rPr>
      </w:pPr>
      <w:r>
        <w:rPr>
          <w:rFonts w:hint="eastAsia" w:ascii="宋体" w:hAnsi="宋体" w:eastAsia="宋体" w:cs="宋体"/>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宋体" w:hAnsi="宋体" w:eastAsia="宋体" w:cs="宋体"/>
        </w:rPr>
      </w:pPr>
      <w:r>
        <w:rPr>
          <w:rFonts w:hint="eastAsia" w:ascii="宋体" w:hAnsi="宋体" w:eastAsia="宋体" w:cs="宋体"/>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宋体" w:hAnsi="宋体" w:eastAsia="宋体" w:cs="宋体"/>
        </w:rPr>
      </w:pPr>
      <w:r>
        <w:rPr>
          <w:rFonts w:hint="eastAsia" w:ascii="宋体" w:hAnsi="宋体" w:eastAsia="宋体" w:cs="宋体"/>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宋体" w:hAnsi="宋体" w:eastAsia="宋体" w:cs="宋体"/>
        </w:rPr>
      </w:pPr>
      <w:r>
        <w:rPr>
          <w:rFonts w:hint="eastAsia" w:ascii="宋体" w:hAnsi="宋体" w:eastAsia="宋体" w:cs="宋体"/>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宋体" w:hAnsi="宋体" w:eastAsia="宋体" w:cs="宋体"/>
        </w:rPr>
      </w:pPr>
      <w:r>
        <w:rPr>
          <w:rFonts w:hint="eastAsia" w:ascii="宋体" w:hAnsi="宋体" w:eastAsia="宋体" w:cs="宋体"/>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宋体" w:hAnsi="宋体" w:eastAsia="宋体" w:cs="宋体"/>
        </w:rPr>
      </w:pPr>
      <w:r>
        <w:rPr>
          <w:rFonts w:hint="eastAsia" w:ascii="宋体" w:hAnsi="宋体" w:eastAsia="宋体" w:cs="宋体"/>
        </w:rPr>
        <w:t>9.其他未尽事宜，以《合同法》等有关法律法规规定为准，无相关规定的，双方协商解决。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6" w:name="_Toc17536928"/>
      <w:r>
        <w:rPr>
          <w:rFonts w:hint="eastAsia"/>
        </w:rPr>
        <w:t>第四章  评审细则</w:t>
      </w:r>
      <w:bookmarkEnd w:id="6"/>
    </w:p>
    <w:p>
      <w:pPr>
        <w:spacing w:line="360" w:lineRule="auto"/>
        <w:ind w:firstLine="411" w:firstLineChars="196"/>
        <w:rPr>
          <w:rFonts w:ascii="宋体" w:hAnsi="宋体"/>
          <w:szCs w:val="21"/>
        </w:rPr>
      </w:pPr>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pacing w:line="360" w:lineRule="exact"/>
        <w:ind w:firstLine="424" w:firstLineChars="202"/>
      </w:pPr>
      <w:r>
        <w:rPr>
          <w:rFonts w:hint="eastAsia"/>
        </w:rPr>
        <w:t>三、报价相同的，由采购人抽签确定成交供应商。</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7" w:name="_Toc17536929"/>
      <w:r>
        <w:rPr>
          <w:rFonts w:hint="eastAsia"/>
        </w:rPr>
        <w:t>第五章  谈判响应文件的组成</w:t>
      </w:r>
      <w:bookmarkEnd w:id="7"/>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w:t>
      </w:r>
      <w:r>
        <w:rPr>
          <w:rFonts w:hint="eastAsia" w:ascii="宋体" w:hAnsi="宋体" w:cs="宋体"/>
          <w:szCs w:val="21"/>
          <w:highlight w:val="none"/>
        </w:rPr>
        <w:t>面）、供应商近三个月（自谈判之日起往前推）</w:t>
      </w:r>
      <w:r>
        <w:rPr>
          <w:rFonts w:hint="eastAsia" w:ascii="宋体" w:hAnsi="宋体" w:cs="宋体"/>
          <w:szCs w:val="21"/>
        </w:rPr>
        <w:t>为其缴纳社保的记录（如果有授权委托情况的，必须提供）</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.供应商简介（含供应商规模、银行资信、技术能力及装备水平、典型项目介绍等）</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2"/>
      </w:pPr>
      <w:r>
        <w:br w:type="page"/>
      </w:r>
    </w:p>
    <w:p>
      <w:pPr>
        <w:pStyle w:val="2"/>
      </w:pPr>
      <w:bookmarkStart w:id="8" w:name="_Toc17536930"/>
      <w:r>
        <w:rPr>
          <w:rFonts w:hint="eastAsia"/>
        </w:rPr>
        <w:t>第六章  附    件</w:t>
      </w:r>
      <w:bookmarkEnd w:id="8"/>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9"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9"/>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color w:val="0C0C0C" w:themeColor="text1" w:themeTint="F2"/>
          <w:sz w:val="21"/>
          <w:szCs w:val="21"/>
          <w:lang w:eastAsia="zh-CN"/>
        </w:rPr>
        <w:t>常州市西林实验小学（小学部）</w:t>
      </w:r>
      <w:r>
        <w:rPr>
          <w:rFonts w:hint="eastAsia" w:cs="宋体" w:asciiTheme="minorEastAsia" w:hAnsiTheme="minorEastAsia" w:eastAsiaTheme="minorEastAsia"/>
          <w:sz w:val="21"/>
          <w:szCs w:val="21"/>
        </w:rPr>
        <w:t>、常州市城投建设工程招标有限公司：</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0C0C0C" w:themeColor="text1" w:themeTint="F2"/>
          <w:szCs w:val="21"/>
        </w:rPr>
      </w:pPr>
      <w:r>
        <w:rPr>
          <w:rFonts w:hint="eastAsia" w:asciiTheme="minorEastAsia" w:hAnsiTheme="minorEastAsia" w:eastAsiaTheme="minorEastAsia"/>
          <w:color w:val="0C0C0C" w:themeColor="text1" w:themeTint="F2"/>
          <w:szCs w:val="21"/>
        </w:rPr>
        <w:t>3.我单位承诺保证采购人在使用该货物或其任何一部分时不受第三方提出侵犯其专利权</w:t>
      </w:r>
      <w:r>
        <w:rPr>
          <w:rFonts w:hint="eastAsia"/>
          <w:color w:val="0C0C0C" w:themeColor="text1" w:themeTint="F2"/>
          <w:shd w:val="clear" w:color="auto" w:fill="FFFFFF"/>
        </w:rPr>
        <w:t>、</w:t>
      </w:r>
      <w:r>
        <w:rPr>
          <w:color w:val="0C0C0C" w:themeColor="text1" w:themeTint="F2"/>
          <w:shd w:val="clear" w:color="auto" w:fill="FFFFFF"/>
        </w:rPr>
        <w:t>著作</w:t>
      </w:r>
      <w:r>
        <w:rPr>
          <w:rFonts w:hint="eastAsia"/>
          <w:color w:val="0C0C0C" w:themeColor="text1" w:themeTint="F2"/>
          <w:shd w:val="clear" w:color="auto" w:fill="FFFFFF"/>
        </w:rPr>
        <w:t>权、商标权等知识产权的起诉。</w:t>
      </w:r>
      <w:r>
        <w:rPr>
          <w:rFonts w:hint="eastAsia" w:asciiTheme="minorEastAsia" w:hAnsiTheme="minorEastAsia" w:eastAsiaTheme="minorEastAsia"/>
          <w:color w:val="0C0C0C" w:themeColor="text1" w:themeTint="F2"/>
          <w:szCs w:val="21"/>
        </w:rPr>
        <w:t>一旦出现侵权、索赔或诉讼，我单位承担全部责任。</w:t>
      </w:r>
    </w:p>
    <w:p>
      <w:pPr>
        <w:pStyle w:val="48"/>
        <w:spacing w:line="360" w:lineRule="exact"/>
        <w:ind w:firstLine="420"/>
        <w:jc w:val="left"/>
        <w:rPr>
          <w:rFonts w:cs="宋体" w:asciiTheme="minorEastAsia" w:hAnsiTheme="minorEastAsia" w:eastAsiaTheme="minorEastAsia"/>
          <w:color w:val="0C0C0C" w:themeColor="text1" w:themeTint="F2"/>
          <w:sz w:val="21"/>
          <w:szCs w:val="21"/>
        </w:rPr>
      </w:pPr>
      <w:r>
        <w:rPr>
          <w:rFonts w:hint="eastAsia" w:asciiTheme="minorEastAsia" w:hAnsiTheme="minorEastAsia" w:eastAsiaTheme="minorEastAsia"/>
          <w:color w:val="0C0C0C" w:themeColor="text1" w:themeTint="F2"/>
          <w:sz w:val="21"/>
          <w:szCs w:val="21"/>
        </w:rPr>
        <w:t>4</w:t>
      </w:r>
      <w:r>
        <w:rPr>
          <w:rFonts w:asciiTheme="minorEastAsia" w:hAnsiTheme="minorEastAsia" w:eastAsiaTheme="minorEastAsia"/>
          <w:color w:val="0C0C0C" w:themeColor="text1" w:themeTint="F2"/>
          <w:sz w:val="21"/>
          <w:szCs w:val="21"/>
        </w:rPr>
        <w:t>.</w:t>
      </w:r>
      <w:r>
        <w:rPr>
          <w:rFonts w:hint="eastAsia" w:cs="宋体" w:asciiTheme="minorEastAsia" w:hAnsiTheme="minorEastAsia" w:eastAsiaTheme="minorEastAsia"/>
          <w:color w:val="0C0C0C" w:themeColor="text1" w:themeTint="F2"/>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0C0C0C" w:themeColor="text1" w:themeTint="F2"/>
          <w:sz w:val="21"/>
          <w:szCs w:val="21"/>
          <w:u w:val="single"/>
        </w:rPr>
        <w:t>6</w:t>
      </w:r>
      <w:r>
        <w:rPr>
          <w:rFonts w:hint="eastAsia" w:cs="宋体" w:asciiTheme="minorEastAsia" w:hAnsiTheme="minorEastAsia" w:eastAsiaTheme="minorEastAsia"/>
          <w:color w:val="0C0C0C" w:themeColor="text1" w:themeTint="F2"/>
          <w:sz w:val="21"/>
          <w:szCs w:val="21"/>
          <w:u w:val="single"/>
        </w:rPr>
        <w:t>0</w:t>
      </w:r>
      <w:r>
        <w:rPr>
          <w:rFonts w:hint="eastAsia" w:cs="宋体" w:asciiTheme="minorEastAsia" w:hAnsiTheme="minorEastAsia" w:eastAsiaTheme="minorEastAsia"/>
          <w:color w:val="0C0C0C" w:themeColor="text1" w:themeTint="F2"/>
          <w:sz w:val="21"/>
          <w:szCs w:val="21"/>
        </w:rPr>
        <w:t>天。</w:t>
      </w:r>
    </w:p>
    <w:p>
      <w:pPr>
        <w:pStyle w:val="48"/>
        <w:spacing w:line="360" w:lineRule="exact"/>
        <w:ind w:firstLine="420"/>
        <w:jc w:val="left"/>
        <w:rPr>
          <w:rFonts w:asciiTheme="minorEastAsia" w:hAnsiTheme="minorEastAsia" w:eastAsiaTheme="minorEastAsia"/>
          <w:color w:val="0C0C0C" w:themeColor="text1" w:themeTint="F2"/>
          <w:sz w:val="21"/>
          <w:szCs w:val="21"/>
        </w:rPr>
      </w:pPr>
      <w:r>
        <w:rPr>
          <w:rFonts w:hint="eastAsia" w:asciiTheme="minorEastAsia" w:hAnsiTheme="minorEastAsia" w:eastAsiaTheme="minorEastAsia"/>
          <w:color w:val="0C0C0C" w:themeColor="text1" w:themeTint="F2"/>
          <w:sz w:val="21"/>
          <w:szCs w:val="21"/>
        </w:rPr>
        <w:t>5.</w:t>
      </w:r>
      <w:r>
        <w:rPr>
          <w:rFonts w:hint="eastAsia" w:cs="宋体" w:asciiTheme="minorEastAsia" w:hAnsiTheme="minorEastAsia" w:eastAsiaTheme="minorEastAsia"/>
          <w:color w:val="0C0C0C" w:themeColor="text1" w:themeTint="F2"/>
          <w:sz w:val="21"/>
          <w:szCs w:val="21"/>
        </w:rPr>
        <w:t>我单位愿意</w:t>
      </w:r>
      <w:r>
        <w:rPr>
          <w:rFonts w:hint="eastAsia" w:asciiTheme="minorEastAsia" w:hAnsiTheme="minorEastAsia" w:eastAsiaTheme="minorEastAsia"/>
          <w:color w:val="0C0C0C" w:themeColor="text1" w:themeTint="F2"/>
          <w:sz w:val="21"/>
          <w:szCs w:val="21"/>
        </w:rPr>
        <w:t>按</w:t>
      </w:r>
      <w:r>
        <w:rPr>
          <w:rFonts w:hint="eastAsia" w:cs="宋体" w:asciiTheme="minorEastAsia" w:hAnsiTheme="minorEastAsia" w:eastAsiaTheme="minorEastAsia"/>
          <w:color w:val="0C0C0C" w:themeColor="text1" w:themeTint="F2"/>
          <w:sz w:val="21"/>
          <w:szCs w:val="21"/>
        </w:rPr>
        <w:t>竞争性谈判文件</w:t>
      </w:r>
      <w:r>
        <w:rPr>
          <w:rFonts w:hint="eastAsia" w:asciiTheme="minorEastAsia" w:hAnsiTheme="minorEastAsia" w:eastAsiaTheme="minorEastAsia"/>
          <w:color w:val="0C0C0C" w:themeColor="text1" w:themeTint="F2"/>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8"/>
        <w:spacing w:line="360" w:lineRule="exact"/>
        <w:ind w:firstLine="420"/>
        <w:jc w:val="left"/>
        <w:rPr>
          <w:rFonts w:cs="宋体" w:asciiTheme="minorEastAsia" w:hAnsiTheme="minorEastAsia" w:eastAsiaTheme="minorEastAsia"/>
          <w:color w:val="0C0C0C" w:themeColor="text1" w:themeTint="F2"/>
          <w:sz w:val="21"/>
          <w:szCs w:val="21"/>
        </w:rPr>
      </w:pPr>
      <w:r>
        <w:rPr>
          <w:rFonts w:hint="eastAsia" w:cs="宋体" w:asciiTheme="minorEastAsia" w:hAnsiTheme="minorEastAsia" w:eastAsiaTheme="minorEastAsia"/>
          <w:color w:val="0C0C0C" w:themeColor="text1" w:themeTint="F2"/>
          <w:sz w:val="21"/>
          <w:szCs w:val="21"/>
        </w:rPr>
        <w:t>6.我单位认为贵单位有权决定成交供应商，还认为贵单位有权接受或拒绝所有的供应商。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color w:val="0C0C0C" w:themeColor="text1" w:themeTint="F2"/>
          <w:sz w:val="21"/>
          <w:szCs w:val="21"/>
        </w:rPr>
      </w:pPr>
      <w:r>
        <w:rPr>
          <w:rFonts w:hint="eastAsia" w:asciiTheme="minorEastAsia" w:hAnsiTheme="minorEastAsia" w:eastAsiaTheme="minorEastAsia"/>
          <w:color w:val="0C0C0C" w:themeColor="text1" w:themeTint="F2"/>
          <w:sz w:val="21"/>
          <w:szCs w:val="21"/>
        </w:rPr>
        <w:t>7</w:t>
      </w:r>
      <w:r>
        <w:rPr>
          <w:rFonts w:asciiTheme="minorEastAsia" w:hAnsiTheme="minorEastAsia" w:eastAsiaTheme="minorEastAsia"/>
          <w:color w:val="0C0C0C" w:themeColor="text1" w:themeTint="F2"/>
          <w:sz w:val="21"/>
          <w:szCs w:val="21"/>
        </w:rPr>
        <w:t>.</w:t>
      </w:r>
      <w:r>
        <w:rPr>
          <w:rFonts w:hint="eastAsia" w:cs="宋体" w:asciiTheme="minorEastAsia" w:hAnsiTheme="minorEastAsia" w:eastAsiaTheme="minorEastAsia"/>
          <w:color w:val="0C0C0C" w:themeColor="text1" w:themeTint="F2"/>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8.如果我单位的谈判响应文件被接受，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9.与本次谈判有关的正式通讯地址为：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8"/>
      </w:pPr>
    </w:p>
    <w:p/>
    <w:p/>
    <w:p/>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单位：人民币</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379"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379"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379"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 保 期</w:t>
            </w:r>
          </w:p>
        </w:tc>
        <w:tc>
          <w:tcPr>
            <w:tcW w:w="6379"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 xml:space="preserve">日期：      年  </w:t>
      </w:r>
      <w:r>
        <w:rPr>
          <w:rFonts w:ascii="宋体" w:hAnsi="宋体" w:cs="宋体"/>
          <w:color w:val="000000"/>
          <w:szCs w:val="21"/>
        </w:rPr>
        <w:t xml:space="preserve"> </w:t>
      </w:r>
      <w:r>
        <w:rPr>
          <w:rFonts w:hint="eastAsia" w:ascii="宋体" w:hAnsi="宋体" w:cs="宋体"/>
          <w:color w:val="000000"/>
          <w:szCs w:val="21"/>
        </w:rPr>
        <w:t>月   日</w:t>
      </w:r>
    </w:p>
    <w:p>
      <w:pPr>
        <w:rPr>
          <w:rFonts w:ascii="宋体" w:hAnsi="宋体" w:cs="宋体"/>
          <w:color w:val="000000"/>
          <w:sz w:val="24"/>
        </w:rPr>
      </w:pPr>
    </w:p>
    <w:p>
      <w:pPr>
        <w:rPr>
          <w:rFonts w:ascii="宋体" w:hAnsi="宋体" w:cs="宋体"/>
          <w:color w:val="000000"/>
          <w:sz w:val="24"/>
        </w:rPr>
      </w:pPr>
    </w:p>
    <w:p>
      <w:pPr>
        <w:rPr>
          <w:rFonts w:ascii="宋体" w:hAnsi="宋体" w:cs="宋体"/>
          <w:color w:val="000000"/>
          <w:sz w:val="24"/>
        </w:rPr>
      </w:pP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w:t>
      </w:r>
      <w:r>
        <w:rPr>
          <w:rFonts w:asciiTheme="minorEastAsia" w:hAnsiTheme="minorEastAsia" w:eastAsiaTheme="minorEastAsia"/>
          <w:b/>
          <w:sz w:val="28"/>
          <w:szCs w:val="28"/>
        </w:rPr>
        <w:t>分项报价</w:t>
      </w:r>
      <w:r>
        <w:rPr>
          <w:rFonts w:hint="eastAsia" w:asciiTheme="minorEastAsia" w:hAnsiTheme="minorEastAsia" w:eastAsiaTheme="minorEastAsia"/>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设备</w:t>
            </w:r>
          </w:p>
          <w:p>
            <w:pPr>
              <w:widowControl/>
              <w:snapToGrid w:val="0"/>
              <w:spacing w:line="360" w:lineRule="exact"/>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供应商价格</w:t>
            </w:r>
          </w:p>
          <w:p>
            <w:pPr>
              <w:widowControl/>
              <w:snapToGrid w:val="0"/>
              <w:spacing w:line="360" w:lineRule="exact"/>
              <w:jc w:val="center"/>
              <w:rPr>
                <w:rFonts w:ascii="宋体" w:hAnsi="宋体" w:cs="Arial"/>
                <w:kern w:val="0"/>
                <w:szCs w:val="21"/>
              </w:rPr>
            </w:pPr>
            <w:r>
              <w:rPr>
                <w:rFonts w:hint="eastAsia" w:ascii="宋体" w:hAnsi="宋体" w:cs="Arial"/>
                <w:kern w:val="0"/>
                <w:szCs w:val="21"/>
              </w:rPr>
              <w:t>（人民币/元）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exact"/>
              <w:jc w:val="center"/>
              <w:rPr>
                <w:rFonts w:ascii="宋体" w:hAnsi="宋体" w:cs="Arial"/>
                <w:kern w:val="0"/>
                <w:szCs w:val="21"/>
              </w:rPr>
            </w:pPr>
          </w:p>
        </w:tc>
        <w:tc>
          <w:tcPr>
            <w:tcW w:w="934" w:type="dxa"/>
            <w:vMerge w:val="continue"/>
            <w:vAlign w:val="center"/>
          </w:tcPr>
          <w:p>
            <w:pPr>
              <w:widowControl/>
              <w:snapToGrid w:val="0"/>
              <w:spacing w:line="360" w:lineRule="exact"/>
              <w:jc w:val="center"/>
              <w:rPr>
                <w:rFonts w:ascii="宋体" w:hAnsi="宋体" w:cs="Arial"/>
                <w:kern w:val="0"/>
                <w:szCs w:val="21"/>
              </w:rPr>
            </w:pPr>
          </w:p>
        </w:tc>
        <w:tc>
          <w:tcPr>
            <w:tcW w:w="780" w:type="dxa"/>
            <w:vMerge w:val="continue"/>
            <w:vAlign w:val="center"/>
          </w:tcPr>
          <w:p>
            <w:pPr>
              <w:widowControl/>
              <w:snapToGrid w:val="0"/>
              <w:spacing w:line="360" w:lineRule="exact"/>
              <w:jc w:val="center"/>
              <w:rPr>
                <w:rFonts w:ascii="宋体" w:hAnsi="宋体" w:cs="Arial"/>
                <w:kern w:val="0"/>
                <w:szCs w:val="21"/>
              </w:rPr>
            </w:pPr>
          </w:p>
        </w:tc>
        <w:tc>
          <w:tcPr>
            <w:tcW w:w="1117" w:type="dxa"/>
            <w:vMerge w:val="continue"/>
            <w:vAlign w:val="center"/>
          </w:tcPr>
          <w:p>
            <w:pPr>
              <w:widowControl/>
              <w:snapToGrid w:val="0"/>
              <w:spacing w:line="360" w:lineRule="exact"/>
              <w:jc w:val="center"/>
              <w:rPr>
                <w:rFonts w:ascii="宋体" w:hAnsi="宋体" w:cs="Arial"/>
                <w:kern w:val="0"/>
                <w:szCs w:val="21"/>
              </w:rPr>
            </w:pPr>
          </w:p>
        </w:tc>
        <w:tc>
          <w:tcPr>
            <w:tcW w:w="1799" w:type="dxa"/>
            <w:vMerge w:val="continue"/>
            <w:vAlign w:val="center"/>
          </w:tcPr>
          <w:p>
            <w:pPr>
              <w:widowControl/>
              <w:snapToGrid w:val="0"/>
              <w:spacing w:line="360" w:lineRule="exact"/>
              <w:jc w:val="center"/>
              <w:rPr>
                <w:rFonts w:ascii="宋体" w:hAnsi="宋体" w:cs="Arial"/>
                <w:kern w:val="0"/>
                <w:szCs w:val="21"/>
              </w:rPr>
            </w:pPr>
          </w:p>
        </w:tc>
        <w:tc>
          <w:tcPr>
            <w:tcW w:w="613" w:type="dxa"/>
            <w:vMerge w:val="continue"/>
            <w:vAlign w:val="center"/>
          </w:tcPr>
          <w:p>
            <w:pPr>
              <w:widowControl/>
              <w:snapToGrid w:val="0"/>
              <w:spacing w:line="360" w:lineRule="exact"/>
              <w:jc w:val="center"/>
              <w:rPr>
                <w:rFonts w:ascii="宋体" w:hAnsi="宋体" w:cs="Arial"/>
                <w:kern w:val="0"/>
                <w:szCs w:val="21"/>
              </w:rPr>
            </w:pPr>
          </w:p>
        </w:tc>
        <w:tc>
          <w:tcPr>
            <w:tcW w:w="618" w:type="dxa"/>
            <w:vMerge w:val="continue"/>
            <w:vAlign w:val="center"/>
          </w:tcPr>
          <w:p>
            <w:pPr>
              <w:widowControl/>
              <w:snapToGrid w:val="0"/>
              <w:spacing w:line="360" w:lineRule="exact"/>
              <w:jc w:val="center"/>
              <w:rPr>
                <w:rFonts w:ascii="宋体" w:hAnsi="宋体" w:cs="Arial"/>
                <w:kern w:val="0"/>
                <w:szCs w:val="21"/>
              </w:rPr>
            </w:pPr>
          </w:p>
        </w:tc>
        <w:tc>
          <w:tcPr>
            <w:tcW w:w="919" w:type="dxa"/>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exact"/>
              <w:jc w:val="center"/>
              <w:rPr>
                <w:rFonts w:ascii="宋体" w:hAnsi="宋体" w:cs="Arial"/>
                <w:b/>
                <w:bCs/>
                <w:kern w:val="0"/>
                <w:szCs w:val="21"/>
              </w:rPr>
            </w:pPr>
          </w:p>
        </w:tc>
        <w:tc>
          <w:tcPr>
            <w:tcW w:w="780" w:type="dxa"/>
            <w:vAlign w:val="center"/>
          </w:tcPr>
          <w:p>
            <w:pPr>
              <w:widowControl/>
              <w:snapToGrid w:val="0"/>
              <w:spacing w:line="360" w:lineRule="exact"/>
              <w:jc w:val="center"/>
              <w:rPr>
                <w:rFonts w:ascii="宋体" w:hAnsi="宋体" w:cs="Arial"/>
                <w:kern w:val="0"/>
                <w:szCs w:val="21"/>
              </w:rPr>
            </w:pPr>
          </w:p>
        </w:tc>
        <w:tc>
          <w:tcPr>
            <w:tcW w:w="1117" w:type="dxa"/>
            <w:vAlign w:val="center"/>
          </w:tcPr>
          <w:p>
            <w:pPr>
              <w:widowControl/>
              <w:snapToGrid w:val="0"/>
              <w:spacing w:line="360" w:lineRule="exact"/>
              <w:jc w:val="center"/>
              <w:rPr>
                <w:rFonts w:ascii="宋体" w:hAnsi="宋体" w:cs="Arial"/>
                <w:kern w:val="0"/>
                <w:szCs w:val="21"/>
              </w:rPr>
            </w:pPr>
          </w:p>
        </w:tc>
        <w:tc>
          <w:tcPr>
            <w:tcW w:w="1799" w:type="dxa"/>
            <w:vAlign w:val="center"/>
          </w:tcPr>
          <w:p>
            <w:pPr>
              <w:widowControl/>
              <w:snapToGrid w:val="0"/>
              <w:spacing w:line="360" w:lineRule="exact"/>
              <w:jc w:val="center"/>
              <w:rPr>
                <w:rFonts w:ascii="宋体" w:hAnsi="宋体" w:cs="Arial"/>
                <w:kern w:val="0"/>
                <w:szCs w:val="21"/>
              </w:rPr>
            </w:pPr>
          </w:p>
        </w:tc>
        <w:tc>
          <w:tcPr>
            <w:tcW w:w="613" w:type="dxa"/>
            <w:vAlign w:val="center"/>
          </w:tcPr>
          <w:p>
            <w:pPr>
              <w:widowControl/>
              <w:snapToGrid w:val="0"/>
              <w:spacing w:line="360" w:lineRule="exact"/>
              <w:jc w:val="center"/>
              <w:rPr>
                <w:rFonts w:ascii="宋体" w:hAnsi="宋体" w:cs="Arial"/>
                <w:kern w:val="0"/>
                <w:szCs w:val="21"/>
              </w:rPr>
            </w:pPr>
          </w:p>
        </w:tc>
        <w:tc>
          <w:tcPr>
            <w:tcW w:w="618" w:type="dxa"/>
            <w:vAlign w:val="center"/>
          </w:tcPr>
          <w:p>
            <w:pPr>
              <w:widowControl/>
              <w:snapToGrid w:val="0"/>
              <w:spacing w:line="360" w:lineRule="exact"/>
              <w:jc w:val="center"/>
              <w:rPr>
                <w:rFonts w:ascii="宋体" w:hAnsi="宋体" w:cs="Arial"/>
                <w:kern w:val="0"/>
                <w:szCs w:val="21"/>
              </w:rPr>
            </w:pPr>
          </w:p>
        </w:tc>
        <w:tc>
          <w:tcPr>
            <w:tcW w:w="919" w:type="dxa"/>
            <w:vAlign w:val="center"/>
          </w:tcPr>
          <w:p>
            <w:pPr>
              <w:widowControl/>
              <w:snapToGrid w:val="0"/>
              <w:spacing w:line="360" w:lineRule="exact"/>
              <w:jc w:val="center"/>
              <w:rPr>
                <w:rFonts w:ascii="宋体" w:hAnsi="宋体" w:cs="Arial"/>
                <w:kern w:val="0"/>
                <w:szCs w:val="21"/>
              </w:rPr>
            </w:pPr>
          </w:p>
        </w:tc>
        <w:tc>
          <w:tcPr>
            <w:tcW w:w="1072" w:type="dxa"/>
            <w:vAlign w:val="center"/>
          </w:tcPr>
          <w:p>
            <w:pPr>
              <w:widowControl/>
              <w:snapToGrid w:val="0"/>
              <w:spacing w:line="360" w:lineRule="exact"/>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exact"/>
              <w:jc w:val="center"/>
              <w:rPr>
                <w:rFonts w:ascii="宋体" w:hAnsi="宋体" w:cs="Arial"/>
                <w:b/>
                <w:bCs/>
                <w:kern w:val="0"/>
                <w:szCs w:val="21"/>
              </w:rPr>
            </w:pPr>
          </w:p>
        </w:tc>
        <w:tc>
          <w:tcPr>
            <w:tcW w:w="780" w:type="dxa"/>
            <w:vAlign w:val="center"/>
          </w:tcPr>
          <w:p>
            <w:pPr>
              <w:widowControl/>
              <w:snapToGrid w:val="0"/>
              <w:spacing w:line="360" w:lineRule="exact"/>
              <w:jc w:val="center"/>
              <w:rPr>
                <w:rFonts w:ascii="宋体" w:hAnsi="宋体" w:cs="Arial"/>
                <w:kern w:val="0"/>
                <w:szCs w:val="21"/>
              </w:rPr>
            </w:pPr>
          </w:p>
        </w:tc>
        <w:tc>
          <w:tcPr>
            <w:tcW w:w="1117" w:type="dxa"/>
            <w:vAlign w:val="center"/>
          </w:tcPr>
          <w:p>
            <w:pPr>
              <w:widowControl/>
              <w:snapToGrid w:val="0"/>
              <w:spacing w:line="360" w:lineRule="exact"/>
              <w:jc w:val="center"/>
              <w:rPr>
                <w:rFonts w:ascii="宋体" w:hAnsi="宋体" w:cs="Arial"/>
                <w:kern w:val="0"/>
                <w:szCs w:val="21"/>
              </w:rPr>
            </w:pPr>
          </w:p>
        </w:tc>
        <w:tc>
          <w:tcPr>
            <w:tcW w:w="1799" w:type="dxa"/>
            <w:vAlign w:val="center"/>
          </w:tcPr>
          <w:p>
            <w:pPr>
              <w:widowControl/>
              <w:snapToGrid w:val="0"/>
              <w:spacing w:line="360" w:lineRule="exact"/>
              <w:jc w:val="center"/>
              <w:rPr>
                <w:rFonts w:ascii="宋体" w:hAnsi="宋体" w:cs="Arial"/>
                <w:kern w:val="0"/>
                <w:szCs w:val="21"/>
              </w:rPr>
            </w:pPr>
          </w:p>
        </w:tc>
        <w:tc>
          <w:tcPr>
            <w:tcW w:w="613" w:type="dxa"/>
            <w:vAlign w:val="center"/>
          </w:tcPr>
          <w:p>
            <w:pPr>
              <w:widowControl/>
              <w:snapToGrid w:val="0"/>
              <w:spacing w:line="360" w:lineRule="exact"/>
              <w:jc w:val="center"/>
              <w:rPr>
                <w:rFonts w:ascii="宋体" w:hAnsi="宋体" w:cs="Arial"/>
                <w:kern w:val="0"/>
                <w:szCs w:val="21"/>
              </w:rPr>
            </w:pPr>
          </w:p>
        </w:tc>
        <w:tc>
          <w:tcPr>
            <w:tcW w:w="618" w:type="dxa"/>
            <w:vAlign w:val="center"/>
          </w:tcPr>
          <w:p>
            <w:pPr>
              <w:widowControl/>
              <w:snapToGrid w:val="0"/>
              <w:spacing w:line="360" w:lineRule="exact"/>
              <w:jc w:val="center"/>
              <w:rPr>
                <w:rFonts w:ascii="宋体" w:hAnsi="宋体" w:cs="Arial"/>
                <w:kern w:val="0"/>
                <w:szCs w:val="21"/>
              </w:rPr>
            </w:pPr>
          </w:p>
        </w:tc>
        <w:tc>
          <w:tcPr>
            <w:tcW w:w="919" w:type="dxa"/>
            <w:vAlign w:val="center"/>
          </w:tcPr>
          <w:p>
            <w:pPr>
              <w:widowControl/>
              <w:snapToGrid w:val="0"/>
              <w:spacing w:line="360" w:lineRule="exact"/>
              <w:jc w:val="center"/>
              <w:rPr>
                <w:rFonts w:ascii="宋体" w:hAnsi="宋体" w:cs="Arial"/>
                <w:kern w:val="0"/>
                <w:szCs w:val="21"/>
              </w:rPr>
            </w:pPr>
          </w:p>
        </w:tc>
        <w:tc>
          <w:tcPr>
            <w:tcW w:w="1072" w:type="dxa"/>
            <w:vAlign w:val="center"/>
          </w:tcPr>
          <w:p>
            <w:pPr>
              <w:widowControl/>
              <w:snapToGrid w:val="0"/>
              <w:spacing w:line="360" w:lineRule="exact"/>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exact"/>
              <w:jc w:val="center"/>
              <w:rPr>
                <w:rFonts w:ascii="宋体" w:hAnsi="宋体" w:cs="Arial"/>
                <w:b/>
                <w:bCs/>
                <w:kern w:val="0"/>
                <w:szCs w:val="21"/>
              </w:rPr>
            </w:pPr>
          </w:p>
        </w:tc>
        <w:tc>
          <w:tcPr>
            <w:tcW w:w="780" w:type="dxa"/>
            <w:vAlign w:val="center"/>
          </w:tcPr>
          <w:p>
            <w:pPr>
              <w:widowControl/>
              <w:snapToGrid w:val="0"/>
              <w:spacing w:line="360" w:lineRule="exact"/>
              <w:jc w:val="center"/>
              <w:rPr>
                <w:rFonts w:ascii="宋体" w:hAnsi="宋体" w:cs="Arial"/>
                <w:kern w:val="0"/>
                <w:szCs w:val="21"/>
              </w:rPr>
            </w:pPr>
          </w:p>
        </w:tc>
        <w:tc>
          <w:tcPr>
            <w:tcW w:w="1117" w:type="dxa"/>
            <w:vAlign w:val="center"/>
          </w:tcPr>
          <w:p>
            <w:pPr>
              <w:widowControl/>
              <w:snapToGrid w:val="0"/>
              <w:spacing w:line="360" w:lineRule="exact"/>
              <w:jc w:val="center"/>
              <w:rPr>
                <w:rFonts w:ascii="宋体" w:hAnsi="宋体" w:cs="Arial"/>
                <w:kern w:val="0"/>
                <w:szCs w:val="21"/>
              </w:rPr>
            </w:pPr>
          </w:p>
        </w:tc>
        <w:tc>
          <w:tcPr>
            <w:tcW w:w="1799" w:type="dxa"/>
            <w:vAlign w:val="center"/>
          </w:tcPr>
          <w:p>
            <w:pPr>
              <w:widowControl/>
              <w:snapToGrid w:val="0"/>
              <w:spacing w:line="360" w:lineRule="exact"/>
              <w:jc w:val="center"/>
              <w:rPr>
                <w:rFonts w:ascii="宋体" w:hAnsi="宋体" w:cs="Arial"/>
                <w:kern w:val="0"/>
                <w:szCs w:val="21"/>
              </w:rPr>
            </w:pPr>
          </w:p>
        </w:tc>
        <w:tc>
          <w:tcPr>
            <w:tcW w:w="613" w:type="dxa"/>
            <w:vAlign w:val="center"/>
          </w:tcPr>
          <w:p>
            <w:pPr>
              <w:widowControl/>
              <w:snapToGrid w:val="0"/>
              <w:spacing w:line="360" w:lineRule="exact"/>
              <w:jc w:val="center"/>
              <w:rPr>
                <w:rFonts w:ascii="宋体" w:hAnsi="宋体" w:cs="Arial"/>
                <w:kern w:val="0"/>
                <w:szCs w:val="21"/>
              </w:rPr>
            </w:pPr>
          </w:p>
        </w:tc>
        <w:tc>
          <w:tcPr>
            <w:tcW w:w="618" w:type="dxa"/>
            <w:vAlign w:val="center"/>
          </w:tcPr>
          <w:p>
            <w:pPr>
              <w:widowControl/>
              <w:snapToGrid w:val="0"/>
              <w:spacing w:line="360" w:lineRule="exact"/>
              <w:jc w:val="center"/>
              <w:rPr>
                <w:rFonts w:ascii="宋体" w:hAnsi="宋体" w:cs="Arial"/>
                <w:kern w:val="0"/>
                <w:szCs w:val="21"/>
              </w:rPr>
            </w:pPr>
          </w:p>
        </w:tc>
        <w:tc>
          <w:tcPr>
            <w:tcW w:w="919" w:type="dxa"/>
            <w:vAlign w:val="center"/>
          </w:tcPr>
          <w:p>
            <w:pPr>
              <w:widowControl/>
              <w:snapToGrid w:val="0"/>
              <w:spacing w:line="360" w:lineRule="exact"/>
              <w:jc w:val="center"/>
              <w:rPr>
                <w:rFonts w:ascii="宋体" w:hAnsi="宋体" w:cs="Arial"/>
                <w:kern w:val="0"/>
                <w:szCs w:val="21"/>
              </w:rPr>
            </w:pPr>
          </w:p>
        </w:tc>
        <w:tc>
          <w:tcPr>
            <w:tcW w:w="1072" w:type="dxa"/>
            <w:vAlign w:val="center"/>
          </w:tcPr>
          <w:p>
            <w:pPr>
              <w:widowControl/>
              <w:snapToGrid w:val="0"/>
              <w:spacing w:line="360" w:lineRule="exact"/>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exact"/>
              <w:jc w:val="center"/>
              <w:rPr>
                <w:rFonts w:ascii="宋体" w:hAnsi="宋体" w:cs="Arial"/>
                <w:b/>
                <w:bCs/>
                <w:kern w:val="0"/>
                <w:szCs w:val="21"/>
              </w:rPr>
            </w:pPr>
          </w:p>
        </w:tc>
        <w:tc>
          <w:tcPr>
            <w:tcW w:w="780" w:type="dxa"/>
            <w:vAlign w:val="center"/>
          </w:tcPr>
          <w:p>
            <w:pPr>
              <w:widowControl/>
              <w:snapToGrid w:val="0"/>
              <w:spacing w:line="360" w:lineRule="exact"/>
              <w:jc w:val="center"/>
              <w:rPr>
                <w:rFonts w:ascii="宋体" w:hAnsi="宋体" w:cs="Arial"/>
                <w:kern w:val="0"/>
                <w:szCs w:val="21"/>
              </w:rPr>
            </w:pPr>
          </w:p>
        </w:tc>
        <w:tc>
          <w:tcPr>
            <w:tcW w:w="1117" w:type="dxa"/>
            <w:vAlign w:val="center"/>
          </w:tcPr>
          <w:p>
            <w:pPr>
              <w:widowControl/>
              <w:snapToGrid w:val="0"/>
              <w:spacing w:line="360" w:lineRule="exact"/>
              <w:jc w:val="center"/>
              <w:rPr>
                <w:rFonts w:ascii="宋体" w:hAnsi="宋体" w:cs="Arial"/>
                <w:kern w:val="0"/>
                <w:szCs w:val="21"/>
              </w:rPr>
            </w:pPr>
          </w:p>
        </w:tc>
        <w:tc>
          <w:tcPr>
            <w:tcW w:w="1799" w:type="dxa"/>
            <w:vAlign w:val="center"/>
          </w:tcPr>
          <w:p>
            <w:pPr>
              <w:widowControl/>
              <w:snapToGrid w:val="0"/>
              <w:spacing w:line="360" w:lineRule="exact"/>
              <w:jc w:val="center"/>
              <w:rPr>
                <w:rFonts w:ascii="宋体" w:hAnsi="宋体" w:cs="Arial"/>
                <w:kern w:val="0"/>
                <w:szCs w:val="21"/>
              </w:rPr>
            </w:pPr>
          </w:p>
        </w:tc>
        <w:tc>
          <w:tcPr>
            <w:tcW w:w="613" w:type="dxa"/>
            <w:vAlign w:val="center"/>
          </w:tcPr>
          <w:p>
            <w:pPr>
              <w:widowControl/>
              <w:snapToGrid w:val="0"/>
              <w:spacing w:line="360" w:lineRule="exact"/>
              <w:jc w:val="center"/>
              <w:rPr>
                <w:rFonts w:ascii="宋体" w:hAnsi="宋体" w:cs="Arial"/>
                <w:kern w:val="0"/>
                <w:szCs w:val="21"/>
              </w:rPr>
            </w:pPr>
          </w:p>
        </w:tc>
        <w:tc>
          <w:tcPr>
            <w:tcW w:w="618" w:type="dxa"/>
            <w:vAlign w:val="center"/>
          </w:tcPr>
          <w:p>
            <w:pPr>
              <w:widowControl/>
              <w:snapToGrid w:val="0"/>
              <w:spacing w:line="360" w:lineRule="exact"/>
              <w:jc w:val="center"/>
              <w:rPr>
                <w:rFonts w:ascii="宋体" w:hAnsi="宋体" w:cs="Arial"/>
                <w:kern w:val="0"/>
                <w:szCs w:val="21"/>
              </w:rPr>
            </w:pPr>
          </w:p>
        </w:tc>
        <w:tc>
          <w:tcPr>
            <w:tcW w:w="919" w:type="dxa"/>
            <w:vAlign w:val="center"/>
          </w:tcPr>
          <w:p>
            <w:pPr>
              <w:widowControl/>
              <w:snapToGrid w:val="0"/>
              <w:spacing w:line="360" w:lineRule="exact"/>
              <w:jc w:val="center"/>
              <w:rPr>
                <w:rFonts w:ascii="宋体" w:hAnsi="宋体" w:cs="Arial"/>
                <w:kern w:val="0"/>
                <w:szCs w:val="21"/>
              </w:rPr>
            </w:pPr>
          </w:p>
        </w:tc>
        <w:tc>
          <w:tcPr>
            <w:tcW w:w="1072" w:type="dxa"/>
            <w:vAlign w:val="center"/>
          </w:tcPr>
          <w:p>
            <w:pPr>
              <w:widowControl/>
              <w:snapToGrid w:val="0"/>
              <w:spacing w:line="360" w:lineRule="exact"/>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exact"/>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exact"/>
              <w:jc w:val="center"/>
              <w:rPr>
                <w:rFonts w:ascii="宋体" w:hAnsi="宋体" w:cs="Arial"/>
                <w:kern w:val="0"/>
                <w:szCs w:val="21"/>
              </w:rPr>
            </w:pPr>
          </w:p>
        </w:tc>
        <w:tc>
          <w:tcPr>
            <w:tcW w:w="1072" w:type="dxa"/>
            <w:vAlign w:val="center"/>
          </w:tcPr>
          <w:p>
            <w:pPr>
              <w:widowControl/>
              <w:snapToGrid w:val="0"/>
              <w:spacing w:line="360" w:lineRule="exact"/>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b/>
          <w:bCs/>
          <w:szCs w:val="21"/>
        </w:rPr>
      </w:pPr>
      <w:r>
        <w:rPr>
          <w:rFonts w:hint="eastAsia"/>
          <w:b/>
          <w:bCs/>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2"/>
        <w:tabs>
          <w:tab w:val="left" w:pos="432"/>
        </w:tabs>
        <w:spacing w:line="480" w:lineRule="exact"/>
        <w:rPr>
          <w:rFonts w:ascii="宋体" w:hAnsi="宋体" w:cs="宋体"/>
          <w:b w:val="0"/>
          <w:bCs/>
          <w:szCs w:val="32"/>
        </w:rPr>
      </w:pPr>
    </w:p>
    <w:p>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 xml:space="preserve">日期：      年 </w:t>
      </w:r>
      <w:r>
        <w:rPr>
          <w:rFonts w:ascii="宋体" w:hAnsi="宋体" w:cs="宋体"/>
          <w:color w:val="000000"/>
          <w:szCs w:val="21"/>
        </w:rPr>
        <w:t xml:space="preserve"> </w:t>
      </w:r>
      <w:r>
        <w:rPr>
          <w:rFonts w:hint="eastAsia" w:ascii="宋体" w:hAnsi="宋体" w:cs="宋体"/>
          <w:color w:val="000000"/>
          <w:szCs w:val="21"/>
        </w:rPr>
        <w:t xml:space="preserve">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2"/>
      </w:pPr>
      <w:bookmarkStart w:id="10" w:name="_Toc17536931"/>
      <w:r>
        <w:rPr>
          <w:rFonts w:hint="eastAsia"/>
        </w:rPr>
        <w:t>友 情 提 醒</w:t>
      </w:r>
      <w:bookmarkEnd w:id="10"/>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15</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350F1E"/>
    <w:multiLevelType w:val="multilevel"/>
    <w:tmpl w:val="6F350F1E"/>
    <w:lvl w:ilvl="0" w:tentative="0">
      <w:start w:val="1"/>
      <w:numFmt w:val="japaneseCounting"/>
      <w:lvlText w:val="%1、"/>
      <w:lvlJc w:val="left"/>
      <w:pPr>
        <w:ind w:left="872" w:hanging="450"/>
      </w:pPr>
      <w:rPr>
        <w:rFonts w:hint="default"/>
        <w:color w:val="auto"/>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376"/>
    <w:rsid w:val="0005783A"/>
    <w:rsid w:val="0006059F"/>
    <w:rsid w:val="00062B13"/>
    <w:rsid w:val="00064468"/>
    <w:rsid w:val="0007109F"/>
    <w:rsid w:val="00074403"/>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5028"/>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2E8B"/>
    <w:rsid w:val="00213A25"/>
    <w:rsid w:val="0022480A"/>
    <w:rsid w:val="00232FCD"/>
    <w:rsid w:val="0023309A"/>
    <w:rsid w:val="00242599"/>
    <w:rsid w:val="002472E5"/>
    <w:rsid w:val="00247710"/>
    <w:rsid w:val="0026034A"/>
    <w:rsid w:val="00263D61"/>
    <w:rsid w:val="00266CFA"/>
    <w:rsid w:val="002749DA"/>
    <w:rsid w:val="0027508A"/>
    <w:rsid w:val="0027765F"/>
    <w:rsid w:val="00285FEF"/>
    <w:rsid w:val="002A12B6"/>
    <w:rsid w:val="002A30FB"/>
    <w:rsid w:val="002A6B32"/>
    <w:rsid w:val="002A7B64"/>
    <w:rsid w:val="002B30F8"/>
    <w:rsid w:val="002B4A1B"/>
    <w:rsid w:val="002C030A"/>
    <w:rsid w:val="002C24F9"/>
    <w:rsid w:val="002C2C7A"/>
    <w:rsid w:val="002C3223"/>
    <w:rsid w:val="002C484D"/>
    <w:rsid w:val="002C7E8A"/>
    <w:rsid w:val="002D1723"/>
    <w:rsid w:val="002D1E5D"/>
    <w:rsid w:val="002D29AF"/>
    <w:rsid w:val="002D2D53"/>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27E"/>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0B46"/>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0C9F"/>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36CA9"/>
    <w:rsid w:val="00841E4C"/>
    <w:rsid w:val="00842EFC"/>
    <w:rsid w:val="008459D0"/>
    <w:rsid w:val="00847A8A"/>
    <w:rsid w:val="00851E04"/>
    <w:rsid w:val="00853BCA"/>
    <w:rsid w:val="00880413"/>
    <w:rsid w:val="00882A19"/>
    <w:rsid w:val="00882C01"/>
    <w:rsid w:val="008A19F0"/>
    <w:rsid w:val="008A487B"/>
    <w:rsid w:val="008B2D42"/>
    <w:rsid w:val="008B49E6"/>
    <w:rsid w:val="008B6494"/>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A27E7"/>
    <w:rsid w:val="009B1E2B"/>
    <w:rsid w:val="009B72D0"/>
    <w:rsid w:val="009D0353"/>
    <w:rsid w:val="009F501D"/>
    <w:rsid w:val="009F5A64"/>
    <w:rsid w:val="00A051E1"/>
    <w:rsid w:val="00A054A4"/>
    <w:rsid w:val="00A113AA"/>
    <w:rsid w:val="00A1185C"/>
    <w:rsid w:val="00A1398D"/>
    <w:rsid w:val="00A13BE0"/>
    <w:rsid w:val="00A1415F"/>
    <w:rsid w:val="00A16641"/>
    <w:rsid w:val="00A23546"/>
    <w:rsid w:val="00A30517"/>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1B80"/>
    <w:rsid w:val="00AF2C0A"/>
    <w:rsid w:val="00AF3FA0"/>
    <w:rsid w:val="00B049A6"/>
    <w:rsid w:val="00B06014"/>
    <w:rsid w:val="00B06F8F"/>
    <w:rsid w:val="00B1119D"/>
    <w:rsid w:val="00B123C7"/>
    <w:rsid w:val="00B13E27"/>
    <w:rsid w:val="00B144D2"/>
    <w:rsid w:val="00B16CBB"/>
    <w:rsid w:val="00B26522"/>
    <w:rsid w:val="00B27F6E"/>
    <w:rsid w:val="00B356FB"/>
    <w:rsid w:val="00B35EFF"/>
    <w:rsid w:val="00B43A54"/>
    <w:rsid w:val="00B55D1C"/>
    <w:rsid w:val="00B5677F"/>
    <w:rsid w:val="00B601B1"/>
    <w:rsid w:val="00B60891"/>
    <w:rsid w:val="00B63A6E"/>
    <w:rsid w:val="00B6458B"/>
    <w:rsid w:val="00B64F1C"/>
    <w:rsid w:val="00B743B4"/>
    <w:rsid w:val="00B74A1B"/>
    <w:rsid w:val="00B803DE"/>
    <w:rsid w:val="00B84568"/>
    <w:rsid w:val="00B85831"/>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0207"/>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D73AE"/>
    <w:rsid w:val="00DE2416"/>
    <w:rsid w:val="00DF0A2C"/>
    <w:rsid w:val="00DF10A7"/>
    <w:rsid w:val="00DF19DF"/>
    <w:rsid w:val="00DF3950"/>
    <w:rsid w:val="00DF7395"/>
    <w:rsid w:val="00DF7920"/>
    <w:rsid w:val="00E03D41"/>
    <w:rsid w:val="00E0755B"/>
    <w:rsid w:val="00E16E91"/>
    <w:rsid w:val="00E3083D"/>
    <w:rsid w:val="00E311BE"/>
    <w:rsid w:val="00E3247F"/>
    <w:rsid w:val="00E33168"/>
    <w:rsid w:val="00E33374"/>
    <w:rsid w:val="00E3545A"/>
    <w:rsid w:val="00E412A9"/>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027B"/>
    <w:rsid w:val="00EF3E0A"/>
    <w:rsid w:val="00EF46DA"/>
    <w:rsid w:val="00EF4DD9"/>
    <w:rsid w:val="00F00911"/>
    <w:rsid w:val="00F011E9"/>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C768F"/>
    <w:rsid w:val="00FD3CDA"/>
    <w:rsid w:val="00FD7E1B"/>
    <w:rsid w:val="00FE1F11"/>
    <w:rsid w:val="00FE3BEB"/>
    <w:rsid w:val="00FF1023"/>
    <w:rsid w:val="00FF25DB"/>
    <w:rsid w:val="00FF3A44"/>
    <w:rsid w:val="00FF4956"/>
    <w:rsid w:val="00FF5702"/>
    <w:rsid w:val="01006EC6"/>
    <w:rsid w:val="1114121E"/>
    <w:rsid w:val="13CC05D1"/>
    <w:rsid w:val="16EB1C47"/>
    <w:rsid w:val="1AE53A6B"/>
    <w:rsid w:val="248723FA"/>
    <w:rsid w:val="324C2652"/>
    <w:rsid w:val="33B87210"/>
    <w:rsid w:val="3A955BD7"/>
    <w:rsid w:val="42DF0A26"/>
    <w:rsid w:val="4AC85F10"/>
    <w:rsid w:val="53727A72"/>
    <w:rsid w:val="5E1B7560"/>
    <w:rsid w:val="65246FD7"/>
    <w:rsid w:val="756141E1"/>
    <w:rsid w:val="7A3D1FC1"/>
    <w:rsid w:val="7C02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0"/>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字符"/>
    <w:basedOn w:val="23"/>
    <w:link w:val="2"/>
    <w:qFormat/>
    <w:uiPriority w:val="0"/>
    <w:rPr>
      <w:rFonts w:ascii="黑体" w:hAnsi="Times New Roman" w:eastAsia="宋体" w:cs="Times New Roman"/>
      <w:b/>
      <w:kern w:val="2"/>
      <w:sz w:val="32"/>
      <w:szCs w:val="24"/>
    </w:rPr>
  </w:style>
  <w:style w:type="character" w:customStyle="1" w:styleId="28">
    <w:name w:val="标题 2 字符"/>
    <w:basedOn w:val="23"/>
    <w:link w:val="3"/>
    <w:qFormat/>
    <w:uiPriority w:val="0"/>
    <w:rPr>
      <w:rFonts w:ascii="Arial" w:hAnsi="Arial" w:eastAsia="黑体" w:cs="Times New Roman"/>
      <w:b/>
      <w:sz w:val="32"/>
      <w:szCs w:val="20"/>
    </w:rPr>
  </w:style>
  <w:style w:type="character" w:customStyle="1" w:styleId="29">
    <w:name w:val="标题 3 字符"/>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6"/>
    <w:semiHidden/>
    <w:qFormat/>
    <w:uiPriority w:val="99"/>
    <w:rPr>
      <w:rFonts w:ascii="宋体" w:hAnsi="Times New Roman" w:eastAsia="宋体" w:cs="Times New Roman"/>
      <w:sz w:val="18"/>
      <w:szCs w:val="18"/>
    </w:rPr>
  </w:style>
  <w:style w:type="character" w:customStyle="1" w:styleId="37">
    <w:name w:val="批注文字 字符"/>
    <w:basedOn w:val="23"/>
    <w:link w:val="7"/>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8"/>
    <w:qFormat/>
    <w:uiPriority w:val="0"/>
    <w:rPr>
      <w:rFonts w:ascii="Times New Roman" w:hAnsi="Times New Roman" w:eastAsia="宋体" w:cs="Times New Roman"/>
      <w:szCs w:val="24"/>
    </w:rPr>
  </w:style>
  <w:style w:type="character" w:customStyle="1" w:styleId="40">
    <w:name w:val="正文文本缩进 字符"/>
    <w:basedOn w:val="23"/>
    <w:link w:val="9"/>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41"/>
    <customShpInfo spid="_x0000_s1039"/>
    <customShpInfo spid="_x0000_s1040"/>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67B9B1-B11D-4EB5-8188-C472607C7A0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30</Pages>
  <Words>3377</Words>
  <Characters>19249</Characters>
  <Lines>160</Lines>
  <Paragraphs>45</Paragraphs>
  <TotalTime>22</TotalTime>
  <ScaleCrop>false</ScaleCrop>
  <LinksUpToDate>false</LinksUpToDate>
  <CharactersWithSpaces>22581</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2019-11-06T08:14:54Z</dcterms:modified>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